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start="5040" w:end="0"/>
        <w:rPr/>
      </w:pPr>
      <w:r>
        <w:rPr/>
      </w:r>
    </w:p>
    <w:tbl>
      <w:tblPr>
        <w:tblW w:w="9244" w:type="dxa"/>
        <w:jc w:val="start"/>
        <w:tblInd w:w="0" w:type="dxa"/>
        <w:tblLayout w:type="fixed"/>
        <w:tblCellMar>
          <w:top w:w="0" w:type="dxa"/>
          <w:start w:w="108" w:type="dxa"/>
          <w:bottom w:w="0" w:type="dxa"/>
          <w:end w:w="108" w:type="dxa"/>
        </w:tblCellMar>
      </w:tblPr>
      <w:tblGrid>
        <w:gridCol w:w="6588"/>
        <w:gridCol w:w="2656"/>
      </w:tblGrid>
      <w:tr>
        <w:trPr/>
        <w:tc>
          <w:tcPr>
            <w:tcW w:w="6588" w:type="dxa"/>
            <w:tcBorders/>
          </w:tcPr>
          <w:p>
            <w:pPr>
              <w:pStyle w:val="Normal"/>
              <w:rPr/>
            </w:pPr>
            <w:r>
              <w:rPr/>
              <w:drawing>
                <wp:inline distT="0" distB="0" distL="0" distR="0">
                  <wp:extent cx="1139190" cy="11347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p>
            <w:pPr>
              <w:pStyle w:val="Normal"/>
              <w:jc w:val="end"/>
              <w:rPr/>
            </w:pPr>
            <w:r>
              <w:rPr/>
            </w:r>
          </w:p>
        </w:tc>
        <w:tc>
          <w:tcPr>
            <w:tcW w:w="2656" w:type="dxa"/>
            <w:tcBorders/>
          </w:tcPr>
          <w:p>
            <w:pPr>
              <w:pStyle w:val="Normal"/>
              <w:rPr>
                <w:b/>
              </w:rPr>
            </w:pPr>
            <w:r>
              <w:rPr>
                <w:b/>
              </w:rPr>
              <w:t>Enron Nordic Energy</w:t>
            </w:r>
          </w:p>
          <w:p>
            <w:pPr>
              <w:pStyle w:val="Normal"/>
              <w:rPr>
                <w:lang w:val="nb-NO"/>
              </w:rPr>
            </w:pPr>
            <w:r>
              <w:rPr>
                <w:lang w:val="nb-NO"/>
              </w:rPr>
              <w:t>Hoffsveien 1D</w:t>
            </w:r>
          </w:p>
          <w:p>
            <w:pPr>
              <w:pStyle w:val="Normal"/>
              <w:rPr>
                <w:lang w:val="nb-NO"/>
              </w:rPr>
            </w:pPr>
            <w:r>
              <w:rPr>
                <w:lang w:val="nb-NO"/>
              </w:rPr>
              <w:t>P.O. Box 637 Skøyen</w:t>
            </w:r>
          </w:p>
          <w:p>
            <w:pPr>
              <w:pStyle w:val="Normal"/>
              <w:rPr>
                <w:lang w:val="nb-NO"/>
              </w:rPr>
            </w:pPr>
            <w:r>
              <w:rPr>
                <w:lang w:val="nb-NO"/>
              </w:rPr>
              <w:t>0214 Oslo, Norway</w:t>
            </w:r>
          </w:p>
          <w:p>
            <w:pPr>
              <w:pStyle w:val="Header"/>
              <w:tabs>
                <w:tab w:val="clear" w:pos="4153"/>
                <w:tab w:val="clear" w:pos="8306"/>
              </w:tabs>
              <w:rPr>
                <w:lang w:val="nb-NO"/>
              </w:rPr>
            </w:pPr>
            <w:r>
              <w:rPr>
                <w:lang w:val="nb-NO"/>
              </w:rPr>
              <w:t>Telephone +47 23 10 25 00</w:t>
            </w:r>
          </w:p>
          <w:p>
            <w:pPr>
              <w:pStyle w:val="Normal"/>
              <w:rPr>
                <w:lang w:val="nb-NO"/>
              </w:rPr>
            </w:pPr>
            <w:r>
              <w:rPr>
                <w:lang w:val="nb-NO"/>
              </w:rPr>
              <w:t>Fax:           +47 23 10 25 51</w:t>
            </w:r>
          </w:p>
        </w:tc>
      </w:tr>
    </w:tbl>
    <w:p>
      <w:pPr>
        <w:pStyle w:val="Normal"/>
        <w:ind w:firstLine="720" w:start="5760" w:end="0"/>
        <w:rPr>
          <w:color w:val="000080"/>
        </w:rPr>
      </w:pPr>
      <w:r>
        <w:rPr>
          <w:color w:val="000080"/>
        </w:rPr>
        <w:t>26 October 2000</w:t>
      </w:r>
    </w:p>
    <w:p>
      <w:pPr>
        <w:pStyle w:val="Normal"/>
        <w:jc w:val="center"/>
        <w:rPr>
          <w:color w:val="000080"/>
        </w:rPr>
      </w:pPr>
      <w:r>
        <w:rPr>
          <w:color w:val="000080"/>
        </w:rPr>
      </w:r>
    </w:p>
    <w:p>
      <w:pPr>
        <w:pStyle w:val="Normal"/>
        <w:rPr>
          <w:u w:val="single"/>
        </w:rPr>
      </w:pPr>
      <w:r>
        <w:rPr>
          <w:u w:val="single"/>
        </w:rPr>
      </w:r>
    </w:p>
    <w:p>
      <w:pPr>
        <w:pStyle w:val="Normal"/>
        <w:rPr>
          <w:u w:val="single"/>
        </w:rPr>
      </w:pPr>
      <w:r>
        <w:rPr>
          <w:u w:val="single"/>
        </w:rPr>
      </w:r>
    </w:p>
    <w:p>
      <w:pPr>
        <w:pStyle w:val="Heading2"/>
        <w:ind w:hanging="0" w:start="0"/>
        <w:rPr/>
      </w:pPr>
      <w:r>
        <w:rPr/>
        <w:t xml:space="preserve">WEATHER CALL OPTION- Contract No. WCC    </w:t>
      </w:r>
    </w:p>
    <w:p>
      <w:pPr>
        <w:pStyle w:val="Normal"/>
        <w:rPr/>
      </w:pPr>
      <w:r>
        <w:rPr/>
      </w:r>
    </w:p>
    <w:p>
      <w:pPr>
        <w:pStyle w:val="Normal"/>
        <w:rPr/>
      </w:pPr>
      <w:r>
        <w:rPr/>
        <w:t xml:space="preserve">The purpose of this document is to confirm the terms and conditions of the below transaction entered into between </w:t>
      </w:r>
    </w:p>
    <w:p>
      <w:pPr>
        <w:pStyle w:val="Normal"/>
        <w:rPr/>
      </w:pPr>
      <w:r>
        <w:rPr/>
        <w:t>("</w:t>
      </w:r>
      <w:r>
        <w:rPr>
          <w:b/>
        </w:rPr>
        <w:t>Party A</w:t>
      </w:r>
      <w:r>
        <w:rPr/>
        <w:t>") Enron Nordic Energy</w:t>
      </w:r>
    </w:p>
    <w:p>
      <w:pPr>
        <w:pStyle w:val="Normal"/>
        <w:rPr>
          <w:lang w:val="nb-NO"/>
        </w:rPr>
      </w:pPr>
      <w:r>
        <w:rPr/>
        <w:t xml:space="preserve"> </w:t>
      </w:r>
      <w:r>
        <w:rPr/>
        <w:t>("</w:t>
      </w:r>
      <w:r>
        <w:rPr>
          <w:b/>
        </w:rPr>
        <w:t>Party B</w:t>
      </w:r>
      <w:r>
        <w:rPr/>
        <w:t xml:space="preserve">") </w:t>
      </w:r>
    </w:p>
    <w:p>
      <w:pPr>
        <w:pStyle w:val="BodyText"/>
        <w:rPr>
          <w:lang w:val="nb-NO"/>
        </w:rPr>
      </w:pPr>
      <w:r>
        <w:rPr>
          <w:lang w:val="nb-NO"/>
        </w:rPr>
      </w:r>
    </w:p>
    <w:p>
      <w:pPr>
        <w:pStyle w:val="Normal"/>
        <w:numPr>
          <w:ilvl w:val="0"/>
          <w:numId w:val="2"/>
        </w:numPr>
        <w:tabs>
          <w:tab w:val="left" w:pos="720" w:leader="none"/>
        </w:tabs>
        <w:rPr/>
      </w:pPr>
      <w:r>
        <w:rPr>
          <w:b/>
          <w:u w:val="single"/>
        </w:rPr>
        <w:t>Terms of Transaction.</w:t>
      </w:r>
      <w:r>
        <w:rPr/>
        <w:t xml:space="preserve">  The terms of the Transaction are as follows:</w:t>
      </w:r>
    </w:p>
    <w:p>
      <w:pPr>
        <w:pStyle w:val="Normal"/>
        <w:rPr>
          <w:b/>
          <w:u w:val="single"/>
        </w:rPr>
      </w:pPr>
      <w:r>
        <w:rPr>
          <w:b/>
          <w:u w:val="single"/>
        </w:rPr>
      </w:r>
    </w:p>
    <w:tbl>
      <w:tblPr>
        <w:tblW w:w="9244" w:type="dxa"/>
        <w:jc w:val="start"/>
        <w:tblInd w:w="0" w:type="dxa"/>
        <w:tblLayout w:type="fixed"/>
        <w:tblCellMar>
          <w:top w:w="0" w:type="dxa"/>
          <w:start w:w="108" w:type="dxa"/>
          <w:bottom w:w="0" w:type="dxa"/>
          <w:end w:w="108" w:type="dxa"/>
        </w:tblCellMar>
      </w:tblPr>
      <w:tblGrid>
        <w:gridCol w:w="3369"/>
        <w:gridCol w:w="5875"/>
      </w:tblGrid>
      <w:tr>
        <w:trPr/>
        <w:tc>
          <w:tcPr>
            <w:tcW w:w="3369" w:type="dxa"/>
            <w:tcBorders/>
          </w:tcPr>
          <w:p>
            <w:pPr>
              <w:pStyle w:val="Normal"/>
              <w:snapToGrid w:val="false"/>
              <w:rPr/>
            </w:pPr>
            <w:r>
              <w:rPr/>
            </w:r>
          </w:p>
          <w:p>
            <w:pPr>
              <w:pStyle w:val="Normal"/>
              <w:rPr/>
            </w:pPr>
            <w:r>
              <w:rPr/>
              <w:t>Transaction Type:</w:t>
            </w:r>
          </w:p>
          <w:p>
            <w:pPr>
              <w:pStyle w:val="Normal"/>
              <w:rPr/>
            </w:pPr>
            <w:r>
              <w:rPr/>
            </w:r>
          </w:p>
        </w:tc>
        <w:tc>
          <w:tcPr>
            <w:tcW w:w="5875" w:type="dxa"/>
            <w:tcBorders/>
          </w:tcPr>
          <w:p>
            <w:pPr>
              <w:pStyle w:val="Normal"/>
              <w:snapToGrid w:val="false"/>
              <w:rPr/>
            </w:pPr>
            <w:r>
              <w:rPr/>
            </w:r>
          </w:p>
          <w:p>
            <w:pPr>
              <w:pStyle w:val="Header"/>
              <w:tabs>
                <w:tab w:val="clear" w:pos="4153"/>
                <w:tab w:val="clear" w:pos="8306"/>
              </w:tabs>
              <w:rPr/>
            </w:pPr>
            <w:r>
              <w:rPr/>
              <w:t>Heating Degree Day ("HDD") Call Option</w:t>
            </w:r>
          </w:p>
        </w:tc>
      </w:tr>
      <w:tr>
        <w:trPr/>
        <w:tc>
          <w:tcPr>
            <w:tcW w:w="3369" w:type="dxa"/>
            <w:tcBorders/>
          </w:tcPr>
          <w:p>
            <w:pPr>
              <w:pStyle w:val="Normal"/>
              <w:rPr/>
            </w:pPr>
            <w:r>
              <w:rPr/>
              <w:t>Trade Date:</w:t>
            </w:r>
          </w:p>
        </w:tc>
        <w:tc>
          <w:tcPr>
            <w:tcW w:w="5875" w:type="dxa"/>
            <w:tcBorders/>
          </w:tcPr>
          <w:p>
            <w:pPr>
              <w:pStyle w:val="Normal"/>
              <w:rPr/>
            </w:pPr>
            <w:r>
              <w:rPr>
                <w:color w:val="000080"/>
              </w:rPr>
              <w:t>26 October 2000</w:t>
            </w:r>
            <w:r>
              <w:rPr/>
              <w:t xml:space="preserve"> </w:t>
            </w:r>
          </w:p>
          <w:p>
            <w:pPr>
              <w:pStyle w:val="Normal"/>
              <w:rPr/>
            </w:pPr>
            <w:r>
              <w:rPr/>
            </w:r>
          </w:p>
        </w:tc>
      </w:tr>
      <w:tr>
        <w:trPr>
          <w:trHeight w:val="80" w:hRule="atLeast"/>
        </w:trPr>
        <w:tc>
          <w:tcPr>
            <w:tcW w:w="3369" w:type="dxa"/>
            <w:tcBorders/>
          </w:tcPr>
          <w:p>
            <w:pPr>
              <w:pStyle w:val="Normal"/>
              <w:rPr/>
            </w:pPr>
            <w:r>
              <w:rPr/>
              <w:t>Calculation Period:</w:t>
            </w:r>
          </w:p>
          <w:p>
            <w:pPr>
              <w:pStyle w:val="Normal"/>
              <w:rPr/>
            </w:pPr>
            <w:r>
              <w:rPr/>
            </w:r>
          </w:p>
        </w:tc>
        <w:tc>
          <w:tcPr>
            <w:tcW w:w="5875" w:type="dxa"/>
            <w:tcBorders/>
          </w:tcPr>
          <w:p>
            <w:pPr>
              <w:pStyle w:val="Normal"/>
              <w:jc w:val="both"/>
              <w:rPr/>
            </w:pPr>
            <w:r>
              <w:rPr/>
              <w:t>The period from and including the Effective Date to and including the Termination Date.</w:t>
            </w:r>
          </w:p>
        </w:tc>
      </w:tr>
      <w:tr>
        <w:trPr>
          <w:trHeight w:val="80" w:hRule="atLeast"/>
        </w:trPr>
        <w:tc>
          <w:tcPr>
            <w:tcW w:w="3369" w:type="dxa"/>
            <w:tcBorders/>
          </w:tcPr>
          <w:p>
            <w:pPr>
              <w:pStyle w:val="Header"/>
              <w:tabs>
                <w:tab w:val="clear" w:pos="4153"/>
                <w:tab w:val="clear" w:pos="8306"/>
              </w:tabs>
              <w:snapToGrid w:val="false"/>
              <w:rPr/>
            </w:pPr>
            <w:r>
              <w:rPr/>
            </w:r>
          </w:p>
          <w:p>
            <w:pPr>
              <w:pStyle w:val="Normal"/>
              <w:rPr/>
            </w:pPr>
            <w:r>
              <w:rPr/>
              <w:t>Effective Date:</w:t>
            </w:r>
          </w:p>
        </w:tc>
        <w:tc>
          <w:tcPr>
            <w:tcW w:w="5875" w:type="dxa"/>
            <w:tcBorders/>
          </w:tcPr>
          <w:p>
            <w:pPr>
              <w:pStyle w:val="Normal"/>
              <w:snapToGrid w:val="false"/>
              <w:jc w:val="both"/>
              <w:rPr/>
            </w:pPr>
            <w:r>
              <w:rPr/>
            </w:r>
          </w:p>
          <w:p>
            <w:pPr>
              <w:pStyle w:val="Normal"/>
              <w:jc w:val="both"/>
              <w:rPr>
                <w:color w:val="000080"/>
              </w:rPr>
            </w:pPr>
            <w:r>
              <w:rPr>
                <w:color w:val="000080"/>
              </w:rPr>
              <w:t>1 November 2000</w:t>
            </w:r>
          </w:p>
        </w:tc>
      </w:tr>
      <w:tr>
        <w:trPr>
          <w:trHeight w:val="80" w:hRule="atLeast"/>
        </w:trPr>
        <w:tc>
          <w:tcPr>
            <w:tcW w:w="3369" w:type="dxa"/>
            <w:tcBorders/>
          </w:tcPr>
          <w:p>
            <w:pPr>
              <w:pStyle w:val="Normal"/>
              <w:snapToGrid w:val="false"/>
              <w:rPr>
                <w:color w:val="000080"/>
              </w:rPr>
            </w:pPr>
            <w:r>
              <w:rPr>
                <w:color w:val="000080"/>
              </w:rPr>
            </w:r>
          </w:p>
          <w:p>
            <w:pPr>
              <w:pStyle w:val="Normal"/>
              <w:rPr/>
            </w:pPr>
            <w:r>
              <w:rPr/>
              <w:t>Termination Date:</w:t>
            </w:r>
          </w:p>
        </w:tc>
        <w:tc>
          <w:tcPr>
            <w:tcW w:w="5875" w:type="dxa"/>
            <w:tcBorders/>
          </w:tcPr>
          <w:p>
            <w:pPr>
              <w:pStyle w:val="Header"/>
              <w:tabs>
                <w:tab w:val="clear" w:pos="4153"/>
                <w:tab w:val="clear" w:pos="8306"/>
              </w:tabs>
              <w:snapToGrid w:val="false"/>
              <w:jc w:val="both"/>
              <w:rPr/>
            </w:pPr>
            <w:r>
              <w:rPr/>
            </w:r>
          </w:p>
          <w:p>
            <w:pPr>
              <w:pStyle w:val="Header"/>
              <w:tabs>
                <w:tab w:val="clear" w:pos="4153"/>
                <w:tab w:val="clear" w:pos="8306"/>
              </w:tabs>
              <w:jc w:val="both"/>
              <w:rPr>
                <w:color w:val="000080"/>
              </w:rPr>
            </w:pPr>
            <w:r>
              <w:rPr>
                <w:color w:val="000080"/>
              </w:rPr>
              <w:t>31 March 2001</w:t>
            </w:r>
          </w:p>
        </w:tc>
      </w:tr>
      <w:tr>
        <w:trPr>
          <w:trHeight w:val="80" w:hRule="atLeast"/>
        </w:trPr>
        <w:tc>
          <w:tcPr>
            <w:tcW w:w="3369" w:type="dxa"/>
            <w:tcBorders/>
          </w:tcPr>
          <w:p>
            <w:pPr>
              <w:pStyle w:val="Normal"/>
              <w:snapToGrid w:val="false"/>
              <w:rPr>
                <w:color w:val="000080"/>
              </w:rPr>
            </w:pPr>
            <w:r>
              <w:rPr>
                <w:color w:val="000080"/>
              </w:rPr>
            </w:r>
          </w:p>
          <w:p>
            <w:pPr>
              <w:pStyle w:val="Normal"/>
              <w:rPr/>
            </w:pPr>
            <w:r>
              <w:rPr/>
              <w:t>Premium Payment Details</w:t>
            </w:r>
          </w:p>
        </w:tc>
        <w:tc>
          <w:tcPr>
            <w:tcW w:w="5875" w:type="dxa"/>
            <w:tcBorders/>
          </w:tcPr>
          <w:p>
            <w:pPr>
              <w:pStyle w:val="Normal"/>
              <w:snapToGrid w:val="false"/>
              <w:jc w:val="both"/>
              <w:rPr/>
            </w:pPr>
            <w:r>
              <w:rPr/>
            </w:r>
          </w:p>
          <w:p>
            <w:pPr>
              <w:pStyle w:val="Normal"/>
              <w:jc w:val="both"/>
              <w:rPr/>
            </w:pPr>
            <w:r>
              <w:rPr>
                <w:color w:val="000000"/>
              </w:rPr>
              <w:t>Party B shall pay Party A</w:t>
            </w:r>
            <w:r>
              <w:rPr/>
              <w:t xml:space="preserve"> NOK</w:t>
            </w:r>
            <w:r>
              <w:rPr>
                <w:color w:val="000080"/>
              </w:rPr>
              <w:t xml:space="preserve"> 15,- .The premium is paid before Party B recives this document.</w:t>
            </w:r>
          </w:p>
        </w:tc>
      </w:tr>
      <w:tr>
        <w:trPr>
          <w:trHeight w:val="80" w:hRule="atLeast"/>
        </w:trPr>
        <w:tc>
          <w:tcPr>
            <w:tcW w:w="3369" w:type="dxa"/>
            <w:tcBorders/>
          </w:tcPr>
          <w:p>
            <w:pPr>
              <w:pStyle w:val="Normal"/>
              <w:snapToGrid w:val="false"/>
              <w:rPr/>
            </w:pPr>
            <w:r>
              <w:rPr/>
            </w:r>
          </w:p>
          <w:p>
            <w:pPr>
              <w:pStyle w:val="Normal"/>
              <w:rPr/>
            </w:pPr>
            <w:r>
              <w:rPr/>
              <w:t>Notional Amount:</w:t>
            </w:r>
          </w:p>
        </w:tc>
        <w:tc>
          <w:tcPr>
            <w:tcW w:w="5875" w:type="dxa"/>
            <w:tcBorders/>
          </w:tcPr>
          <w:p>
            <w:pPr>
              <w:pStyle w:val="Normal"/>
              <w:snapToGrid w:val="false"/>
              <w:jc w:val="both"/>
              <w:rPr/>
            </w:pPr>
            <w:r>
              <w:rPr/>
            </w:r>
          </w:p>
          <w:p>
            <w:pPr>
              <w:pStyle w:val="Normal"/>
              <w:jc w:val="both"/>
              <w:rPr/>
            </w:pPr>
            <w:r>
              <w:rPr>
                <w:color w:val="000080"/>
              </w:rPr>
              <w:t xml:space="preserve">0,20 NOK </w:t>
            </w:r>
            <w:r>
              <w:rPr/>
              <w:t>per HDD</w:t>
            </w:r>
          </w:p>
        </w:tc>
      </w:tr>
      <w:tr>
        <w:trPr>
          <w:trHeight w:val="80" w:hRule="atLeast"/>
        </w:trPr>
        <w:tc>
          <w:tcPr>
            <w:tcW w:w="3369" w:type="dxa"/>
            <w:tcBorders/>
          </w:tcPr>
          <w:p>
            <w:pPr>
              <w:pStyle w:val="Normal"/>
              <w:snapToGrid w:val="false"/>
              <w:rPr/>
            </w:pPr>
            <w:r>
              <w:rPr/>
            </w:r>
          </w:p>
          <w:p>
            <w:pPr>
              <w:pStyle w:val="Normal"/>
              <w:rPr/>
            </w:pPr>
            <w:r>
              <w:rPr/>
              <w:t>Strike Amount:</w:t>
            </w:r>
          </w:p>
        </w:tc>
        <w:tc>
          <w:tcPr>
            <w:tcW w:w="5875" w:type="dxa"/>
            <w:tcBorders/>
          </w:tcPr>
          <w:p>
            <w:pPr>
              <w:pStyle w:val="Normal"/>
              <w:snapToGrid w:val="false"/>
              <w:jc w:val="both"/>
              <w:rPr/>
            </w:pPr>
            <w:r>
              <w:rPr/>
            </w:r>
          </w:p>
          <w:p>
            <w:pPr>
              <w:pStyle w:val="Normal"/>
              <w:jc w:val="both"/>
              <w:rPr/>
            </w:pPr>
            <w:r>
              <w:rPr>
                <w:color w:val="000080"/>
              </w:rPr>
              <w:t xml:space="preserve">2840 </w:t>
            </w:r>
            <w:r>
              <w:rPr/>
              <w:t>HDD's</w:t>
            </w:r>
          </w:p>
        </w:tc>
      </w:tr>
      <w:tr>
        <w:trPr/>
        <w:tc>
          <w:tcPr>
            <w:tcW w:w="3369" w:type="dxa"/>
            <w:tcBorders/>
          </w:tcPr>
          <w:p>
            <w:pPr>
              <w:pStyle w:val="Normal"/>
              <w:snapToGrid w:val="false"/>
              <w:rPr/>
            </w:pPr>
            <w:r>
              <w:rPr/>
            </w:r>
          </w:p>
          <w:p>
            <w:pPr>
              <w:pStyle w:val="Normal"/>
              <w:rPr/>
            </w:pPr>
            <w:r>
              <w:rPr/>
              <w:t>Payment Date:</w:t>
            </w:r>
          </w:p>
          <w:p>
            <w:pPr>
              <w:pStyle w:val="Normal"/>
              <w:rPr/>
            </w:pPr>
            <w:r>
              <w:rPr/>
            </w:r>
          </w:p>
        </w:tc>
        <w:tc>
          <w:tcPr>
            <w:tcW w:w="5875" w:type="dxa"/>
            <w:tcBorders/>
          </w:tcPr>
          <w:p>
            <w:pPr>
              <w:pStyle w:val="Normal"/>
              <w:snapToGrid w:val="false"/>
              <w:jc w:val="both"/>
              <w:rPr/>
            </w:pPr>
            <w:r>
              <w:rPr/>
            </w:r>
          </w:p>
          <w:p>
            <w:pPr>
              <w:pStyle w:val="Normal"/>
              <w:jc w:val="both"/>
              <w:rPr/>
            </w:pPr>
            <w:r>
              <w:rPr/>
              <w:t>The fifth (5</w:t>
            </w:r>
            <w:r>
              <w:rPr>
                <w:vertAlign w:val="superscript"/>
              </w:rPr>
              <w:t>th</w:t>
            </w:r>
            <w:r>
              <w:rPr/>
              <w:t xml:space="preserve">) Local Business Day after the Floating Amount for the Calculation Period is determinable. </w:t>
            </w:r>
          </w:p>
          <w:p>
            <w:pPr>
              <w:pStyle w:val="Normal"/>
              <w:jc w:val="both"/>
              <w:rPr/>
            </w:pPr>
            <w:r>
              <w:rPr/>
            </w:r>
          </w:p>
        </w:tc>
      </w:tr>
      <w:tr>
        <w:trPr>
          <w:trHeight w:val="80" w:hRule="atLeast"/>
        </w:trPr>
        <w:tc>
          <w:tcPr>
            <w:tcW w:w="3369" w:type="dxa"/>
            <w:tcBorders/>
          </w:tcPr>
          <w:p>
            <w:pPr>
              <w:pStyle w:val="Normal"/>
              <w:tabs>
                <w:tab w:val="clear" w:pos="720"/>
                <w:tab w:val="left" w:pos="0" w:leader="none"/>
              </w:tabs>
              <w:jc w:val="both"/>
              <w:rPr/>
            </w:pPr>
            <w:r>
              <w:rPr/>
              <w:t>Average Daily Temperature:</w:t>
            </w:r>
          </w:p>
          <w:p>
            <w:pPr>
              <w:pStyle w:val="Normal"/>
              <w:tabs>
                <w:tab w:val="clear" w:pos="720"/>
                <w:tab w:val="left" w:pos="0" w:leader="none"/>
              </w:tabs>
              <w:jc w:val="both"/>
              <w:rPr/>
            </w:pPr>
            <w:r>
              <w:rPr/>
            </w:r>
          </w:p>
        </w:tc>
        <w:tc>
          <w:tcPr>
            <w:tcW w:w="5875" w:type="dxa"/>
            <w:tcBorders/>
          </w:tcPr>
          <w:p>
            <w:pPr>
              <w:pStyle w:val="Normal"/>
              <w:tabs>
                <w:tab w:val="clear" w:pos="720"/>
                <w:tab w:val="left" w:pos="0" w:leader="none"/>
              </w:tabs>
              <w:rPr>
                <w:color w:val="000000"/>
                <w:lang w:val="en-US"/>
              </w:rPr>
            </w:pPr>
            <w:r>
              <w:rPr>
                <w:color w:val="000000"/>
                <w:lang w:val="en-US"/>
              </w:rPr>
              <w:t>For any day in the Calculation Period, half of the sum of the daily maximum temperature and the daily minimum temperature as reported by the reporting service.</w:t>
            </w:r>
          </w:p>
          <w:p>
            <w:pPr>
              <w:pStyle w:val="Normal"/>
              <w:tabs>
                <w:tab w:val="clear" w:pos="720"/>
                <w:tab w:val="left" w:pos="0" w:leader="none"/>
              </w:tabs>
              <w:ind w:hanging="3600" w:start="3600" w:end="0"/>
              <w:rPr/>
            </w:pPr>
            <w:r>
              <w:rPr/>
            </w:r>
          </w:p>
        </w:tc>
      </w:tr>
      <w:tr>
        <w:trPr>
          <w:trHeight w:val="80" w:hRule="atLeast"/>
        </w:trPr>
        <w:tc>
          <w:tcPr>
            <w:tcW w:w="3369" w:type="dxa"/>
            <w:tcBorders/>
          </w:tcPr>
          <w:p>
            <w:pPr>
              <w:pStyle w:val="Normal"/>
              <w:tabs>
                <w:tab w:val="clear" w:pos="720"/>
                <w:tab w:val="left" w:pos="0" w:leader="none"/>
              </w:tabs>
              <w:jc w:val="both"/>
              <w:rPr/>
            </w:pPr>
            <w:r>
              <w:rPr/>
              <w:t>Floating Amount Payer:</w:t>
            </w:r>
          </w:p>
          <w:p>
            <w:pPr>
              <w:pStyle w:val="Normal"/>
              <w:tabs>
                <w:tab w:val="clear" w:pos="720"/>
                <w:tab w:val="left" w:pos="0" w:leader="none"/>
              </w:tabs>
              <w:ind w:hanging="3600" w:start="3600" w:end="0"/>
              <w:jc w:val="both"/>
              <w:rPr/>
            </w:pPr>
            <w:r>
              <w:rPr/>
              <w:t>(Seller of Option)</w:t>
            </w:r>
          </w:p>
          <w:p>
            <w:pPr>
              <w:pStyle w:val="Normal"/>
              <w:tabs>
                <w:tab w:val="clear" w:pos="720"/>
                <w:tab w:val="left" w:pos="0" w:leader="none"/>
              </w:tabs>
              <w:ind w:hanging="3600" w:start="3600" w:end="0"/>
              <w:jc w:val="both"/>
              <w:rPr/>
            </w:pPr>
            <w:r>
              <w:rPr/>
            </w:r>
          </w:p>
        </w:tc>
        <w:tc>
          <w:tcPr>
            <w:tcW w:w="5875" w:type="dxa"/>
            <w:tcBorders/>
          </w:tcPr>
          <w:p>
            <w:pPr>
              <w:pStyle w:val="Normal"/>
              <w:tabs>
                <w:tab w:val="clear" w:pos="720"/>
                <w:tab w:val="left" w:pos="0" w:leader="none"/>
              </w:tabs>
              <w:jc w:val="both"/>
              <w:rPr>
                <w:color w:val="000000"/>
              </w:rPr>
            </w:pPr>
            <w:r>
              <w:rPr>
                <w:color w:val="000000"/>
              </w:rPr>
              <w:t>Party A</w:t>
            </w:r>
          </w:p>
          <w:p>
            <w:pPr>
              <w:pStyle w:val="Normal"/>
              <w:tabs>
                <w:tab w:val="clear" w:pos="720"/>
                <w:tab w:val="left" w:pos="0" w:leader="none"/>
              </w:tabs>
              <w:ind w:hanging="3600" w:start="3600" w:end="0"/>
              <w:jc w:val="both"/>
              <w:rPr>
                <w:color w:val="000080"/>
              </w:rPr>
            </w:pPr>
            <w:r>
              <w:rPr>
                <w:color w:val="000080"/>
              </w:rPr>
            </w:r>
          </w:p>
        </w:tc>
      </w:tr>
      <w:tr>
        <w:trPr>
          <w:trHeight w:val="80" w:hRule="atLeast"/>
        </w:trPr>
        <w:tc>
          <w:tcPr>
            <w:tcW w:w="3369" w:type="dxa"/>
            <w:tcBorders/>
          </w:tcPr>
          <w:p>
            <w:pPr>
              <w:pStyle w:val="Normal"/>
              <w:tabs>
                <w:tab w:val="clear" w:pos="720"/>
                <w:tab w:val="left" w:pos="0" w:leader="none"/>
              </w:tabs>
              <w:ind w:hanging="3600" w:start="3600" w:end="0"/>
              <w:jc w:val="both"/>
              <w:rPr/>
            </w:pPr>
            <w:r>
              <w:rPr/>
              <w:t>Fixed Amount Payer:</w:t>
            </w:r>
          </w:p>
          <w:p>
            <w:pPr>
              <w:pStyle w:val="Normal"/>
              <w:tabs>
                <w:tab w:val="clear" w:pos="720"/>
                <w:tab w:val="left" w:pos="0" w:leader="none"/>
              </w:tabs>
              <w:ind w:hanging="3600" w:start="3600" w:end="0"/>
              <w:jc w:val="both"/>
              <w:rPr/>
            </w:pPr>
            <w:r>
              <w:rPr/>
              <w:t>(Buyer of Option)</w:t>
            </w:r>
          </w:p>
          <w:p>
            <w:pPr>
              <w:pStyle w:val="Normal"/>
              <w:tabs>
                <w:tab w:val="clear" w:pos="720"/>
                <w:tab w:val="left" w:pos="0" w:leader="none"/>
              </w:tabs>
              <w:ind w:hanging="3600" w:start="3600" w:end="0"/>
              <w:jc w:val="both"/>
              <w:rPr/>
            </w:pPr>
            <w:r>
              <w:rPr/>
            </w:r>
          </w:p>
        </w:tc>
        <w:tc>
          <w:tcPr>
            <w:tcW w:w="5875" w:type="dxa"/>
            <w:tcBorders/>
          </w:tcPr>
          <w:p>
            <w:pPr>
              <w:pStyle w:val="Normal"/>
              <w:tabs>
                <w:tab w:val="clear" w:pos="720"/>
                <w:tab w:val="left" w:pos="0" w:leader="none"/>
              </w:tabs>
              <w:ind w:hanging="3600" w:start="3600" w:end="0"/>
              <w:jc w:val="both"/>
              <w:rPr>
                <w:color w:val="000000"/>
              </w:rPr>
            </w:pPr>
            <w:r>
              <w:rPr>
                <w:color w:val="000000"/>
              </w:rPr>
              <w:t>Party B</w:t>
            </w:r>
          </w:p>
          <w:p>
            <w:pPr>
              <w:pStyle w:val="Normal"/>
              <w:tabs>
                <w:tab w:val="clear" w:pos="720"/>
                <w:tab w:val="left" w:pos="0" w:leader="none"/>
              </w:tabs>
              <w:ind w:hanging="3600" w:start="3600" w:end="0"/>
              <w:jc w:val="both"/>
              <w:rPr>
                <w:color w:val="000080"/>
              </w:rPr>
            </w:pPr>
            <w:r>
              <w:rPr>
                <w:color w:val="000080"/>
              </w:rPr>
            </w:r>
          </w:p>
        </w:tc>
      </w:tr>
      <w:tr>
        <w:trPr>
          <w:trHeight w:val="80" w:hRule="atLeast"/>
        </w:trPr>
        <w:tc>
          <w:tcPr>
            <w:tcW w:w="3369" w:type="dxa"/>
            <w:tcBorders/>
          </w:tcPr>
          <w:p>
            <w:pPr>
              <w:pStyle w:val="Normal"/>
              <w:rPr/>
            </w:pPr>
            <w:r>
              <w:rPr/>
              <w:t>Floating Amount:</w:t>
            </w:r>
          </w:p>
        </w:tc>
        <w:tc>
          <w:tcPr>
            <w:tcW w:w="5875" w:type="dxa"/>
            <w:tcBorders/>
          </w:tcPr>
          <w:p>
            <w:pPr>
              <w:pStyle w:val="Normal"/>
              <w:jc w:val="both"/>
              <w:rPr/>
            </w:pPr>
            <w:r>
              <w:rPr/>
              <w:t xml:space="preserve">The sum of HDD's calculated in accordance with the procedure detailed below, for each day during the applicable Calculation Period. </w:t>
            </w:r>
          </w:p>
          <w:p>
            <w:pPr>
              <w:pStyle w:val="Normal"/>
              <w:jc w:val="both"/>
              <w:rPr/>
            </w:pPr>
            <w:r>
              <w:rPr/>
            </w:r>
          </w:p>
          <w:p>
            <w:pPr>
              <w:pStyle w:val="Normal"/>
              <w:jc w:val="both"/>
              <w:rPr/>
            </w:pPr>
            <w:r>
              <w:rPr/>
              <w:t>Heating Degree Days ("</w:t>
            </w:r>
            <w:r>
              <w:rPr>
                <w:b/>
              </w:rPr>
              <w:t>HDDs</w:t>
            </w:r>
            <w:r>
              <w:rPr/>
              <w:t>"), where “HDD” means, for each day during the Calculation Period, an amount equal to the greater of (i) 18 degrees Celsius minus the Average Daily Temperature in degrees Celsius and (ii) zero.</w:t>
            </w:r>
          </w:p>
          <w:p>
            <w:pPr>
              <w:pStyle w:val="Normal"/>
              <w:jc w:val="both"/>
              <w:rPr/>
            </w:pPr>
            <w:r>
              <w:rPr/>
            </w:r>
          </w:p>
        </w:tc>
      </w:tr>
      <w:tr>
        <w:trPr/>
        <w:tc>
          <w:tcPr>
            <w:tcW w:w="3369" w:type="dxa"/>
            <w:tcBorders/>
          </w:tcPr>
          <w:p>
            <w:pPr>
              <w:pStyle w:val="Normal"/>
              <w:rPr/>
            </w:pPr>
            <w:r>
              <w:rPr/>
              <w:t>Reporting Service:</w:t>
            </w:r>
          </w:p>
        </w:tc>
        <w:tc>
          <w:tcPr>
            <w:tcW w:w="5875" w:type="dxa"/>
            <w:tcBorders/>
          </w:tcPr>
          <w:p>
            <w:pPr>
              <w:pStyle w:val="Normal"/>
              <w:rPr>
                <w:color w:val="000080"/>
              </w:rPr>
            </w:pPr>
            <w:r>
              <w:rPr>
                <w:color w:val="000080"/>
              </w:rPr>
              <w:t>DNMI, Postboks 43, Blinderen, 0313 Oslo.</w:t>
            </w:r>
          </w:p>
          <w:p>
            <w:pPr>
              <w:pStyle w:val="Header"/>
              <w:tabs>
                <w:tab w:val="clear" w:pos="4153"/>
                <w:tab w:val="clear" w:pos="8306"/>
              </w:tabs>
              <w:jc w:val="both"/>
              <w:rPr>
                <w:color w:val="000080"/>
              </w:rPr>
            </w:pPr>
            <w:r>
              <w:rPr>
                <w:color w:val="000080"/>
              </w:rPr>
            </w:r>
          </w:p>
        </w:tc>
      </w:tr>
      <w:tr>
        <w:trPr/>
        <w:tc>
          <w:tcPr>
            <w:tcW w:w="3369" w:type="dxa"/>
            <w:tcBorders/>
          </w:tcPr>
          <w:p>
            <w:pPr>
              <w:pStyle w:val="Normal"/>
              <w:rPr/>
            </w:pPr>
            <w:r>
              <w:rPr/>
              <w:t>Reference Weather Station:</w:t>
            </w:r>
          </w:p>
        </w:tc>
        <w:tc>
          <w:tcPr>
            <w:tcW w:w="5875" w:type="dxa"/>
            <w:tcBorders/>
          </w:tcPr>
          <w:p>
            <w:pPr>
              <w:pStyle w:val="Header"/>
              <w:tabs>
                <w:tab w:val="clear" w:pos="4153"/>
                <w:tab w:val="clear" w:pos="8306"/>
              </w:tabs>
              <w:jc w:val="both"/>
              <w:rPr>
                <w:color w:val="000080"/>
              </w:rPr>
            </w:pPr>
            <w:r>
              <w:rPr>
                <w:color w:val="000080"/>
              </w:rPr>
              <w:t>Oslo Blinderen WMO no. 01492</w:t>
            </w:r>
          </w:p>
        </w:tc>
      </w:tr>
      <w:tr>
        <w:trPr/>
        <w:tc>
          <w:tcPr>
            <w:tcW w:w="3369" w:type="dxa"/>
            <w:tcBorders/>
          </w:tcPr>
          <w:p>
            <w:pPr>
              <w:pStyle w:val="Normal"/>
              <w:snapToGrid w:val="false"/>
              <w:rPr>
                <w:color w:val="000080"/>
              </w:rPr>
            </w:pPr>
            <w:r>
              <w:rPr>
                <w:color w:val="000080"/>
              </w:rPr>
            </w:r>
          </w:p>
        </w:tc>
        <w:tc>
          <w:tcPr>
            <w:tcW w:w="5875" w:type="dxa"/>
            <w:tcBorders/>
          </w:tcPr>
          <w:p>
            <w:pPr>
              <w:pStyle w:val="Normal"/>
              <w:snapToGrid w:val="false"/>
              <w:jc w:val="both"/>
              <w:rPr/>
            </w:pPr>
            <w:r>
              <w:rPr/>
            </w:r>
          </w:p>
        </w:tc>
      </w:tr>
      <w:tr>
        <w:trPr/>
        <w:tc>
          <w:tcPr>
            <w:tcW w:w="3369" w:type="dxa"/>
            <w:tcBorders/>
          </w:tcPr>
          <w:p>
            <w:pPr>
              <w:pStyle w:val="Normal"/>
              <w:rPr/>
            </w:pPr>
            <w:r>
              <w:rPr/>
              <w:t>Strike Amount Differential:</w:t>
            </w:r>
          </w:p>
        </w:tc>
        <w:tc>
          <w:tcPr>
            <w:tcW w:w="5875" w:type="dxa"/>
            <w:tcBorders/>
          </w:tcPr>
          <w:p>
            <w:pPr>
              <w:pStyle w:val="Normal"/>
              <w:jc w:val="both"/>
              <w:rPr/>
            </w:pPr>
            <w:r>
              <w:rPr/>
              <w:t>The amount equal to the excess (if a positive number) of (i) Floating Amount over (ii) the Strike Amount</w:t>
            </w:r>
          </w:p>
          <w:p>
            <w:pPr>
              <w:pStyle w:val="Normal"/>
              <w:jc w:val="both"/>
              <w:rPr/>
            </w:pPr>
            <w:r>
              <w:rPr/>
            </w:r>
          </w:p>
        </w:tc>
      </w:tr>
      <w:tr>
        <w:trPr/>
        <w:tc>
          <w:tcPr>
            <w:tcW w:w="3369" w:type="dxa"/>
            <w:tcBorders/>
          </w:tcPr>
          <w:p>
            <w:pPr>
              <w:pStyle w:val="Normal"/>
              <w:rPr/>
            </w:pPr>
            <w:r>
              <w:rPr/>
              <w:t>Payment Amount:</w:t>
            </w:r>
          </w:p>
        </w:tc>
        <w:tc>
          <w:tcPr>
            <w:tcW w:w="5875" w:type="dxa"/>
            <w:tcBorders/>
          </w:tcPr>
          <w:p>
            <w:pPr>
              <w:pStyle w:val="Normal"/>
              <w:keepNext w:val="true"/>
              <w:keepLines/>
              <w:jc w:val="both"/>
              <w:rPr>
                <w:color w:val="000000"/>
              </w:rPr>
            </w:pPr>
            <w:r>
              <w:rPr>
                <w:color w:val="000000"/>
              </w:rPr>
              <w:t>If the Strike Amount Differential is a:</w:t>
            </w:r>
          </w:p>
          <w:p>
            <w:pPr>
              <w:pStyle w:val="Normal"/>
              <w:keepNext w:val="true"/>
              <w:keepLines/>
              <w:jc w:val="both"/>
              <w:rPr>
                <w:color w:val="000000"/>
              </w:rPr>
            </w:pPr>
            <w:r>
              <w:rPr>
                <w:color w:val="000000"/>
              </w:rPr>
            </w:r>
          </w:p>
          <w:p>
            <w:pPr>
              <w:pStyle w:val="Normal"/>
              <w:jc w:val="both"/>
              <w:rPr/>
            </w:pPr>
            <w:r>
              <w:rPr>
                <w:color w:val="000000"/>
              </w:rPr>
              <w:t>Positive number, the Floating Amount Payer shall pay the Fixed Amount Payer an amount in NOK</w:t>
            </w:r>
            <w:r>
              <w:rPr>
                <w:color w:val="FF0000"/>
              </w:rPr>
              <w:t xml:space="preserve"> </w:t>
            </w:r>
            <w:r>
              <w:rPr>
                <w:color w:val="000000"/>
              </w:rPr>
              <w:t xml:space="preserve">equal to the product of (i) the Notional Amount and (ii) the Strike Amount Differential, which amount shall be due and payable on the applicable Payment Date, </w:t>
            </w:r>
            <w:r>
              <w:rPr>
                <w:b/>
                <w:color w:val="000000"/>
              </w:rPr>
              <w:t>provided, however</w:t>
            </w:r>
            <w:r>
              <w:rPr>
                <w:color w:val="000000"/>
              </w:rPr>
              <w:t>, that the maximum amount payable by the Floating Amount Payer shall not exceed  100 NOK</w:t>
            </w:r>
            <w:r>
              <w:rPr/>
              <w:t xml:space="preserve"> </w:t>
            </w:r>
          </w:p>
        </w:tc>
      </w:tr>
      <w:tr>
        <w:trPr/>
        <w:tc>
          <w:tcPr>
            <w:tcW w:w="3369" w:type="dxa"/>
            <w:tcBorders/>
          </w:tcPr>
          <w:p>
            <w:pPr>
              <w:pStyle w:val="Normal"/>
              <w:snapToGrid w:val="false"/>
              <w:rPr/>
            </w:pPr>
            <w:r>
              <w:rPr/>
            </w:r>
          </w:p>
          <w:p>
            <w:pPr>
              <w:pStyle w:val="Normal"/>
              <w:rPr/>
            </w:pPr>
            <w:r>
              <w:rPr/>
              <w:t>Calculation Agent:</w:t>
            </w:r>
          </w:p>
          <w:p>
            <w:pPr>
              <w:pStyle w:val="Normal"/>
              <w:rPr/>
            </w:pPr>
            <w:r>
              <w:rPr/>
            </w:r>
          </w:p>
        </w:tc>
        <w:tc>
          <w:tcPr>
            <w:tcW w:w="5875" w:type="dxa"/>
            <w:tcBorders/>
          </w:tcPr>
          <w:p>
            <w:pPr>
              <w:pStyle w:val="Normal"/>
              <w:snapToGrid w:val="false"/>
              <w:jc w:val="both"/>
              <w:rPr/>
            </w:pPr>
            <w:r>
              <w:rPr/>
            </w:r>
          </w:p>
          <w:p>
            <w:pPr>
              <w:pStyle w:val="Normal"/>
              <w:jc w:val="both"/>
              <w:rPr/>
            </w:pPr>
            <w:r>
              <w:rPr/>
              <w:t xml:space="preserve">For the purposes of the Transaction, Party A shall be the Calculation Agent. </w:t>
            </w:r>
          </w:p>
          <w:p>
            <w:pPr>
              <w:pStyle w:val="Normal"/>
              <w:jc w:val="both"/>
              <w:rPr/>
            </w:pPr>
            <w:r>
              <w:rPr/>
            </w:r>
          </w:p>
        </w:tc>
      </w:tr>
    </w:tbl>
    <w:p>
      <w:pPr>
        <w:pStyle w:val="Header"/>
        <w:tabs>
          <w:tab w:val="clear" w:pos="4153"/>
          <w:tab w:val="clear" w:pos="8306"/>
        </w:tabs>
        <w:rPr/>
      </w:pPr>
      <w:r>
        <w:rPr/>
      </w:r>
    </w:p>
    <w:p>
      <w:pPr>
        <w:pStyle w:val="Header"/>
        <w:tabs>
          <w:tab w:val="clear" w:pos="4153"/>
          <w:tab w:val="clear" w:pos="8306"/>
        </w:tabs>
        <w:rPr/>
      </w:pPr>
      <w:r>
        <w:rPr/>
      </w:r>
    </w:p>
    <w:sectPr>
      <w:headerReference w:type="default" r:id="rId3"/>
      <w:footerReference w:type="default" r:id="rId4"/>
      <w:type w:val="nextPage"/>
      <w:pgSz w:w="11906" w:h="16838"/>
      <w:pgMar w:left="1440" w:right="1440" w:gutter="0" w:header="851" w:top="1412" w:footer="626" w:bottom="11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ab/>
      <w: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u w:val="single"/>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ind w:hanging="0" w:start="1418" w:end="0"/>
      <w:outlineLvl w:val="3"/>
    </w:pPr>
    <w:rPr>
      <w:sz w:val="24"/>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6z0">
    <w:name w:val="WW8Num6z0"/>
    <w:qFormat/>
    <w:rPr>
      <w:rFonts w:ascii="Symbol" w:hAnsi="Symbol" w:cs="Symbol"/>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Strong">
    <w:name w:val="Strong"/>
    <w:basedOn w:val="DefaultParagraphFont"/>
    <w:qFormat/>
    <w:rPr>
      <w:b/>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720" w:start="720" w:end="0"/>
    </w:pPr>
    <w:rPr>
      <w:sz w:val="24"/>
    </w:rPr>
  </w:style>
  <w:style w:type="paragraph" w:styleId="BodyText2">
    <w:name w:val="Body Text 2"/>
    <w:basedOn w:val="Normal"/>
    <w:qFormat/>
    <w:pPr>
      <w:jc w:val="center"/>
    </w:pPr>
    <w:rPr>
      <w:sz w:val="24"/>
    </w:rPr>
  </w:style>
  <w:style w:type="paragraph" w:styleId="BodyText3">
    <w:name w:val="Body Text 3"/>
    <w:basedOn w:val="Normal"/>
    <w:qFormat/>
    <w:pPr>
      <w:spacing w:lineRule="atLeast" w:line="240"/>
    </w:pPr>
    <w:rPr>
      <w:rFonts w:ascii="Tms Rmn" w:hAnsi="Tms Rmn" w:cs="Tms Rmn"/>
      <w:color w:val="000000"/>
      <w:sz w:val="24"/>
      <w:lang w:val="en-AU"/>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2000-10-26T08:54:00Z</dcterms:created>
  <dc:creator>mckernan</dc:creator>
  <dc:description/>
  <dc:language>en-CA</dc:language>
  <cp:lastModifiedBy>foverli</cp:lastModifiedBy>
  <cp:lastPrinted>2000-10-26T14:16:00Z</cp:lastPrinted>
  <dcterms:modified xsi:type="dcterms:W3CDTF">2000-10-26T10:06:00Z</dcterms:modified>
  <cp:revision>10</cp:revision>
  <dc:subject/>
  <dc:title>RIDER A </dc:title>
</cp:coreProperties>
</file>