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[DATE]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Standard &amp; Poor’s Platt’s, </w:t>
      </w:r>
    </w:p>
    <w:p>
      <w:pPr>
        <w:pStyle w:val="Norma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 division of The McGraw-Hill Companies, Inc.</w:t>
      </w:r>
    </w:p>
    <w:p>
      <w:pPr>
        <w:pStyle w:val="Normal"/>
        <w:jc w:val="both"/>
        <w:rPr>
          <w:rFonts w:ascii="Times New Roman" w:hAnsi="Times New Roman" w:cs="Times New Roman"/>
          <w:sz w:val="22"/>
        </w:rPr>
      </w:pPr>
      <w:r>
        <w:rPr>
          <w:rFonts w:cs="Times New Roman" w:ascii="Times New Roman" w:hAnsi="Times New Roman"/>
          <w:sz w:val="22"/>
        </w:rPr>
        <w:t>55 Water Street</w:t>
      </w:r>
    </w:p>
    <w:p>
      <w:pPr>
        <w:pStyle w:val="Normal"/>
        <w:jc w:val="both"/>
        <w:rPr/>
      </w:pPr>
      <w:r>
        <w:rPr>
          <w:rFonts w:cs="Times New Roman" w:ascii="Times New Roman" w:hAnsi="Times New Roman"/>
          <w:sz w:val="22"/>
        </w:rPr>
        <w:t>46</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New York, New York  10041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Standard &amp; Poor’s Platt’s, a division of The McGraw-Hill Companies, Inc. ("Platt’s") and Enron North America Corp. ("ENA") are prepared to furnish each other with information in connection with a possible transaction or other business relationship involving the EnronOnline website (the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  If any provision of this agreement is declared void or otherwise unenforceable, such provision shall be deemed to have been severed from this agreement, which shall otherwise remain in full force and effect.</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tabs>
          <w:tab w:val="clear" w:pos="720"/>
          <w:tab w:val="left" w:pos="0" w:leader="none"/>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Each party acknowledges that its entering into this agreement is a condition precedent for the other party’s willingness to enter into the discussions referred to in the first recital to this agreement.  Accordingly, the parties agree that this agreement is supported by adequate consideration.</w:t>
      </w:r>
    </w:p>
    <w:p>
      <w:pPr>
        <w:pStyle w:val="Normal"/>
        <w:tabs>
          <w:tab w:val="clear" w:pos="720"/>
          <w:tab w:val="left" w:pos="0" w:leader="none"/>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This agreement may not be assigned, amended or any provision hereof waived in whole or in part except by a writing signed by both parties hereto.  This agreement contains the entire agreement between the parties with respect to the subject matter hereof and supersedes any previous understanding, commitments or agreements, oral or written, pertaining to the subject matter hereof.</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STANDARD &amp; POOR’S PLATT’S, A DIVISION</w:t>
      </w:r>
    </w:p>
    <w:p>
      <w:pPr>
        <w:pStyle w:val="Normal"/>
        <w:keepNext w:val="true"/>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OF THE McGRAW-HILL COMPANIES,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728" w:right="1728" w:gutter="0" w:header="1152"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/mnt/main-storage/datasets/enron-docs/doc/conf_platts.doc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Standard &amp; Poor’s Platt’s, a division</w:t>
    </w:r>
  </w:p>
  <w:p>
    <w:pPr>
      <w:pStyle w:val="Header"/>
      <w:rPr>
        <w:rFonts w:ascii="Times New Roman" w:hAnsi="Times New Roman" w:cs="Times New Roman"/>
        <w:sz w:val="22"/>
      </w:rPr>
    </w:pPr>
    <w:r>
      <w:rPr>
        <w:rFonts w:cs="Times New Roman" w:ascii="Times New Roman" w:hAnsi="Times New Roman"/>
        <w:sz w:val="22"/>
      </w:rPr>
      <w:t>of The McGraw–Hill Companies, Inc.</w:t>
    </w:r>
  </w:p>
  <w:p>
    <w:pPr>
      <w:pStyle w:val="Header"/>
      <w:rPr>
        <w:rFonts w:ascii="Times New Roman" w:hAnsi="Times New Roman" w:cs="Times New Roman"/>
        <w:sz w:val="22"/>
      </w:rPr>
    </w:pPr>
    <w:r>
      <w:rPr>
        <w:rFonts w:cs="Times New Roman" w:ascii="Times New Roman" w:hAnsi="Times New Roman"/>
        <w:sz w:val="22"/>
      </w:rPr>
      <w:t>_______________ __,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2000-03-29T15:46:00Z</dcterms:created>
  <dc:creator>ECT</dc:creator>
  <dc:description/>
  <dc:language>en-CA</dc:language>
  <cp:lastModifiedBy>Tana Jones</cp:lastModifiedBy>
  <cp:lastPrinted>2000-03-29T14:08:00Z</cp:lastPrinted>
  <dcterms:modified xsi:type="dcterms:W3CDTF">2000-03-29T18:02:00Z</dcterms:modified>
  <cp:revision>9</cp:revision>
  <dc:subject/>
  <dc:title>Reciprocal Confidentiality Agreement</dc:title>
</cp:coreProperties>
</file>