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Draft of 0/01/00</w:t>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Novo MediaGroup, Inc.</w:t>
      </w:r>
    </w:p>
    <w:p>
      <w:pPr>
        <w:pStyle w:val="Normal"/>
        <w:jc w:val="both"/>
        <w:rPr>
          <w:rFonts w:ascii="Times New Roman" w:hAnsi="Times New Roman" w:cs="Times New Roman"/>
          <w:sz w:val="22"/>
        </w:rPr>
      </w:pPr>
      <w:r>
        <w:rPr>
          <w:rFonts w:cs="Times New Roman" w:ascii="Times New Roman" w:hAnsi="Times New Roman"/>
          <w:sz w:val="22"/>
        </w:rPr>
        <w:t>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Novo MediaGroup, Inc., a California corporation and Enron North America Corp., a Delaware corporation,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NOVO MEDIAGROUP,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/mnt/main-storage/datasets/enron-docs/doc/conf_novo.doc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Novo MediaGroup,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2000-05-01T14:21:00Z</dcterms:created>
  <dc:creator>ECT</dc:creator>
  <dc:description/>
  <dc:language>en-CA</dc:language>
  <cp:lastModifiedBy>Tana Jones</cp:lastModifiedBy>
  <cp:lastPrinted>2000-05-01T12:06:00Z</cp:lastPrinted>
  <dcterms:modified xsi:type="dcterms:W3CDTF">2000-05-01T14:36:00Z</dcterms:modified>
  <cp:revision>3</cp:revision>
  <dc:subject/>
  <dc:title>Reciprocal Confidentiality Agreement</dc:title>
</cp:coreProperties>
</file>