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bookmarkStart w:id="0" w:name="QuickMark"/>
      <w:bookmarkEnd w:id="0"/>
      <w:r>
        <w:rPr>
          <w:b/>
        </w:rPr>
        <w:t>CONFIDENTIALITY AGREEMENT</w:t>
      </w:r>
    </w:p>
    <w:p>
      <w:pPr>
        <w:pStyle w:val="Normal"/>
        <w:widowControl/>
        <w:jc w:val="center"/>
        <w:rPr>
          <w:b/>
        </w:rPr>
      </w:pPr>
      <w:r>
        <w:rPr>
          <w:b/>
        </w:rPr>
        <w:t>BY AND BETWEEN</w:t>
      </w:r>
    </w:p>
    <w:p>
      <w:pPr>
        <w:pStyle w:val="Normal"/>
        <w:widowControl/>
        <w:jc w:val="center"/>
        <w:rPr>
          <w:b/>
        </w:rPr>
      </w:pPr>
      <w:r>
        <w:rPr>
          <w:b/>
        </w:rPr>
        <w:t>ENRON NETWORK AND THE ENRON GAS PIPELINE GROUP</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This Confidentiality Agreement (“Agreement”), entered into and made effective as of the ___ day of ______, 2000, is by and between Enron Network Corp.(“Enron Network”), and Florida Gas Transmission Corporation, Northern Natural Gas Company and Transwestern Pipeline Company (collectively and separately referred to herein as the Enron Gas Pipeline Group (“GPG”)), covering the confidentiality and non-disclosure of information provided by a counterparty via Enron Network to GPG and information derived from or collected or produced in conjunction with such information.</w:t>
      </w:r>
    </w:p>
    <w:p>
      <w:pPr>
        <w:pStyle w:val="Normal"/>
        <w:widowControl/>
        <w:spacing w:lineRule="auto" w:line="480"/>
        <w:jc w:val="center"/>
        <w:rPr>
          <w:b/>
        </w:rPr>
      </w:pPr>
      <w:r>
        <w:rPr>
          <w:b/>
        </w:rPr>
        <w:t>W I T N E S S E T H:</w:t>
      </w:r>
    </w:p>
    <w:p>
      <w:pPr>
        <w:pStyle w:val="Normal"/>
        <w:widowControl/>
        <w:spacing w:lineRule="auto" w:line="480"/>
        <w:jc w:val="center"/>
        <w:rPr>
          <w:b/>
        </w:rPr>
      </w:pPr>
      <w:r>
        <w:rPr>
          <w:b/>
        </w:rPr>
      </w:r>
    </w:p>
    <w:p>
      <w:pPr>
        <w:pStyle w:val="Normal"/>
        <w:widowControl/>
        <w:spacing w:lineRule="auto" w:line="480"/>
        <w:ind w:firstLine="720" w:end="0"/>
        <w:jc w:val="both"/>
        <w:rPr/>
      </w:pPr>
      <w:r>
        <w:rPr/>
        <w:t>WHEREAS, GPG consists of interstate gas pipeline companies subject to the jurisdiction of the Federal Energy Regulatory Commission (“FERC”) under the Natural Gas Act;</w:t>
      </w:r>
    </w:p>
    <w:p>
      <w:pPr>
        <w:pStyle w:val="Normal"/>
        <w:widowControl/>
        <w:spacing w:lineRule="auto" w:line="480"/>
        <w:ind w:firstLine="720" w:end="0"/>
        <w:jc w:val="both"/>
        <w:rPr/>
      </w:pPr>
      <w:r>
        <w:rPr/>
        <w:t>WHEREAS, GPG from time to time engages in open season procedures soliciting bids for capacity on their systems, or other service offerings, in accordance with the capacity allocation procedures and other procedures contained in their FERC Gas Tariffs;</w:t>
      </w:r>
    </w:p>
    <w:p>
      <w:pPr>
        <w:pStyle w:val="Normal"/>
        <w:widowControl/>
        <w:spacing w:lineRule="auto" w:line="480"/>
        <w:ind w:firstLine="720" w:end="0"/>
        <w:jc w:val="both"/>
        <w:rPr/>
      </w:pPr>
      <w:r>
        <w:rPr/>
        <w:t>WHEREAS,  Enron Network has established or will establish one or more websites or other Internet-based electronic trading facilities (collectively the “website”) for conducting open season procedures for the allocation of pipeline capacity and for making other services available; and</w:t>
      </w:r>
    </w:p>
    <w:p>
      <w:pPr>
        <w:pStyle w:val="Normal"/>
        <w:widowControl/>
        <w:spacing w:lineRule="auto" w:line="480"/>
        <w:ind w:firstLine="720" w:end="0"/>
        <w:jc w:val="both"/>
        <w:rPr/>
      </w:pPr>
      <w:r>
        <w:rPr/>
        <w:t>WHEREAS, GPG intends to utilize such service from Enron Network in order to facilitate their own pipeline businesses, including the aforementioned open season procedures; and</w:t>
      </w:r>
    </w:p>
    <w:p>
      <w:pPr>
        <w:sectPr>
          <w:headerReference w:type="even" r:id="rId2"/>
          <w:headerReference w:type="default" r:id="rId3"/>
          <w:footerReference w:type="even" r:id="rId4"/>
          <w:footerReference w:type="default" r:id="rId5"/>
          <w:type w:val="nextPage"/>
          <w:pgSz w:w="12240" w:h="15840"/>
          <w:pgMar w:left="1440" w:right="1440" w:gutter="0" w:header="1080" w:top="1136" w:footer="720" w:bottom="776"/>
          <w:pgNumType w:fmt="decimal"/>
          <w:formProt w:val="false"/>
          <w:textDirection w:val="lrTb"/>
          <w:docGrid w:type="default" w:linePitch="360" w:charSpace="0"/>
        </w:sectPr>
      </w:pPr>
    </w:p>
    <w:p>
      <w:pPr>
        <w:pStyle w:val="Normal"/>
        <w:widowControl/>
        <w:spacing w:lineRule="auto" w:line="480"/>
        <w:ind w:firstLine="720" w:end="0"/>
        <w:jc w:val="both"/>
        <w:rPr/>
      </w:pPr>
      <w:r>
        <w:rPr/>
        <w:t>WHEREAS, it is necessary for parties seeking capacity on GPG to release or disclose certain information in order to obtain capacity on GPG, which information may be subject to certain FERC rules and regulations governing disclosure to others;</w:t>
      </w:r>
    </w:p>
    <w:p>
      <w:pPr>
        <w:pStyle w:val="Normal"/>
        <w:widowControl/>
        <w:spacing w:lineRule="auto" w:line="480"/>
        <w:ind w:firstLine="720" w:end="0"/>
        <w:jc w:val="both"/>
        <w:rPr/>
      </w:pPr>
      <w:r>
        <w:rPr/>
        <w:t>WHEREAS, the parties wish to set forth their agreements to ensure compliance by GPG with FERC  rules and regulations;</w:t>
      </w:r>
    </w:p>
    <w:p>
      <w:pPr>
        <w:pStyle w:val="Normal"/>
        <w:widowControl/>
        <w:spacing w:lineRule="auto" w:line="480"/>
        <w:ind w:firstLine="720" w:end="0"/>
        <w:jc w:val="both"/>
        <w:rPr/>
      </w:pPr>
      <w:r>
        <w:rPr/>
        <w:t>NOW THEREFORE, in consideration of the mutual promises and covenants made herein, with the intent to be legally bound hereby, the parties agree as follows:</w:t>
      </w:r>
    </w:p>
    <w:p>
      <w:pPr>
        <w:pStyle w:val="Normal"/>
        <w:widowControl/>
        <w:tabs>
          <w:tab w:val="clear" w:pos="720"/>
          <w:tab w:val="left" w:pos="-720" w:leader="none"/>
        </w:tabs>
        <w:spacing w:lineRule="auto" w:line="480"/>
        <w:ind w:start="720" w:end="0"/>
        <w:jc w:val="both"/>
        <w:rPr/>
      </w:pPr>
      <w:r>
        <w:rPr/>
        <w:t>1.</w:t>
        <w:tab/>
        <w:t xml:space="preserve">  Pursuant to separate password applications and electronic trading agreements, Enron Network will serve as an Internet-based transaction system pursuant to which customers and potential customers can participate in open seasons or other procedures for GPG capacity or other products or services, including procedures to obtain released capacity, which participation may require the disclosure by customers or potential customers of information not otherwise publicly available. The instant Agreement is designed to address specific issues arising because GPG is subject to regulation by the FERC and to set forth the parties agreements with respect thereto.  This Agreement is intended to supplement and not to supercede the terms and conditions of passport applications and electronic trading agreements.</w:t>
      </w:r>
    </w:p>
    <w:p>
      <w:pPr>
        <w:pStyle w:val="Normal"/>
        <w:widowControl/>
        <w:tabs>
          <w:tab w:val="clear" w:pos="720"/>
          <w:tab w:val="left" w:pos="-720" w:leader="none"/>
        </w:tabs>
        <w:spacing w:lineRule="auto" w:line="480"/>
        <w:ind w:start="720" w:end="0"/>
        <w:jc w:val="both"/>
        <w:rPr/>
      </w:pPr>
      <w:r>
        <w:rPr/>
        <w:t xml:space="preserve"> </w:t>
      </w:r>
      <w:r>
        <w:rPr/>
        <w:t>2.</w:t>
        <w:tab/>
        <w:t xml:space="preserve"> The parties acknowledge and agree that the service to be provided by Enron Network is a website vehicle only.  Enron Network is not a shipper of gas, a marketer or seller of gas, or a transporter of gas.  </w:t>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clear" w:pos="720"/>
          <w:tab w:val="left" w:pos="-720" w:leader="none"/>
        </w:tabs>
        <w:spacing w:lineRule="auto" w:line="480"/>
        <w:ind w:start="720" w:end="0"/>
        <w:jc w:val="both"/>
        <w:rPr/>
      </w:pPr>
      <w:r>
        <w:rPr/>
        <w:t>3.</w:t>
        <w:tab/>
        <w:t>Under FERC rules and regulations, GPG is restricted in the provision of shipper information and transportation information to Enron North America (“ENA”) and other marketing affiliates (as such term is defined at 18 C.F.R. Part 161).  In particular, under Standard E of 18 C.F.R. Part 161, GPG is prohibited from disclosing to its marketing affiliates information received from customers or potential customers.  Under Standard F of 18 C.F.R. Part 161, GPG is precluded from providing transportation information to ENA or other marketing affiliates unless it is contemporaneously disclosed to all nonaffiliated shippers or potential shippers.  Enron Network acknowledges such restrictions and agrees that it will not disclose the information described above, either directly or indirectly, to ENA or any other of GPG’s marketing affiliates, or act as a conduit of such information to ENA or any other of GPG’s marketing affiliates. Enron Network recognizes and agrees that use or disclosure of such information in contravention of this agreement could result in irreparable harm to GPG.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jc w:val="both"/>
        <w:rPr/>
      </w:pPr>
      <w:r>
        <w:rPr/>
        <w:t>4.</w:t>
        <w:tab/>
        <w:t xml:space="preserve">This Agreement shall be binding upon the parties and their successors and assigns and shall be construed and governed in accordance with the laws of the state of Texas without reference to principles of conflicts of law.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t>IN WITNESS WHEREOF, the parties intending to be legally bound hereby have executed this agreement as of the date first above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ENRON NETWORK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FLORIDA GAS TRANSMISSION </w:t>
        <w:tab/>
        <w:tab/>
        <w:tab/>
        <w:tab/>
        <w:tab/>
        <w:tab/>
        <w:tab/>
        <w:t>CORPORATION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NORTHERN NATURAL GAS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1080" w:top="113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TRANSWESTERN PIPELINE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pPr>
      <w:r>
        <w:rPr/>
      </w:r>
    </w:p>
    <w:sectPr>
      <w:type w:val="continuous"/>
      <w:pgSz w:w="12240" w:h="15840"/>
      <w:pgMar w:left="1440" w:right="1440" w:gutter="0" w:header="1080" w:top="1136"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tab/>
    </w:r>
    <w:r>
      <w:rPr>
        <w:sz w:val="28"/>
      </w:rPr>
      <w:t>DRAFT</w:t>
    </w:r>
  </w:p>
  <w:p>
    <w:pPr>
      <w:pStyle w:val="Normal"/>
      <w:tabs>
        <w:tab w:val="clear" w:pos="720"/>
        <w:tab w:val="right" w:pos="9360" w:leader="none"/>
      </w:tabs>
      <w:rPr>
        <w:sz w:val="20"/>
      </w:rPr>
    </w:pPr>
    <w:r>
      <w:rPr>
        <w:sz w:val="28"/>
      </w:rPr>
      <w:tab/>
    </w: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tab/>
    </w:r>
    <w:r>
      <w:rPr>
        <w:sz w:val="28"/>
      </w:rPr>
      <w:t>DRAFT</w:t>
    </w:r>
  </w:p>
  <w:p>
    <w:pPr>
      <w:pStyle w:val="Normal"/>
      <w:tabs>
        <w:tab w:val="clear" w:pos="720"/>
        <w:tab w:val="right" w:pos="9360" w:leader="none"/>
      </w:tabs>
      <w:rPr>
        <w:sz w:val="20"/>
      </w:rPr>
    </w:pPr>
    <w:r>
      <w:rPr>
        <w:sz w:val="28"/>
      </w:rPr>
      <w:tab/>
    </w: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p>
  <w:p>
    <w:pPr>
      <w:pStyle w:val="Normal"/>
      <w:spacing w:lineRule="exact" w:line="240"/>
      <w:rPr>
        <w:sz w:val="20"/>
      </w:rPr>
    </w:pPr>
    <w:r>
      <w:rPr>
        <w:sz w:val="20"/>
      </w:rPr>
    </w:r>
  </w:p>
</w:hdr>
</file>

<file path=word/settings.xml><?xml version="1.0" encoding="utf-8"?>
<w:settings xmlns:w="http://schemas.openxmlformats.org/wordprocessingml/2006/main">
  <w:zoom w:val="bestFit" w:percent="2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2000-06-05T17:45:00Z</dcterms:created>
  <dc:creator>tpryor</dc:creator>
  <dc:description/>
  <dc:language>en-CA</dc:language>
  <cp:lastModifiedBy>tpryor</cp:lastModifiedBy>
  <cp:lastPrinted>2000-06-05T15:06:00Z</cp:lastPrinted>
  <dcterms:modified xsi:type="dcterms:W3CDTF">2000-06-06T17:59:00Z</dcterms:modified>
  <cp:revision>5</cp:revision>
  <dc:subject/>
  <dc:title>CONFIDENTIALITY AGREEMENT</dc:title>
</cp:coreProperties>
</file>