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rHeight w:val="1683" w:hRule="atLeast"/>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Caption"/>
        <w:rPr>
          <w:highlight w:val="yellow"/>
        </w:rPr>
      </w:pPr>
      <w:r>
        <w:rPr>
          <w:highlight w:val="yellow"/>
        </w:rPr>
        <w:t>DRAFT</w:t>
      </w:r>
    </w:p>
    <w:p>
      <w:pPr>
        <w:pStyle w:val="Normal"/>
        <w:jc w:val="center"/>
        <w:rPr>
          <w:b/>
          <w:sz w:val="22"/>
        </w:rPr>
      </w:pPr>
      <w:r>
        <w:rPr>
          <w:b/>
          <w:sz w:val="22"/>
        </w:rPr>
        <w:t xml:space="preserve">CONFIRMATION </w:t>
      </w:r>
    </w:p>
    <w:p>
      <w:pPr>
        <w:pStyle w:val="Normal"/>
        <w:jc w:val="center"/>
        <w:rPr>
          <w:b/>
          <w:sz w:val="22"/>
        </w:rPr>
      </w:pPr>
      <w:r>
        <w:rPr>
          <w:b/>
          <w:sz w:val="22"/>
        </w:rPr>
        <w:t>(Collar)</w:t>
      </w:r>
    </w:p>
    <w:p>
      <w:pPr>
        <w:pStyle w:val="Normal"/>
        <w:rPr>
          <w:b/>
          <w:sz w:val="22"/>
        </w:rPr>
      </w:pPr>
      <w:r>
        <w:rPr>
          <w:b/>
          <w:sz w:val="22"/>
        </w:rPr>
      </w:r>
    </w:p>
    <w:p>
      <w:pPr>
        <w:pStyle w:val="Normal"/>
        <w:rPr>
          <w:sz w:val="22"/>
        </w:rPr>
      </w:pPr>
      <w:r>
        <w:rPr>
          <w:sz w:val="22"/>
        </w:rPr>
        <w:t>Date:</w:t>
        <w:tab/>
        <w:tab/>
        <w:tab/>
        <w:tab/>
        <w:t>April __,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Michael Forte</w:t>
      </w:r>
    </w:p>
    <w:p>
      <w:pPr>
        <w:pStyle w:val="Normal"/>
        <w:rPr>
          <w:sz w:val="22"/>
        </w:rPr>
      </w:pPr>
      <w:r>
        <w:rPr>
          <w:sz w:val="22"/>
        </w:rPr>
        <w:t>Fax No.:</w:t>
        <w:tab/>
        <w:tab/>
        <w:tab/>
        <w:t>(917) 534-4042</w:t>
      </w:r>
    </w:p>
    <w:p>
      <w:pPr>
        <w:pStyle w:val="Normal"/>
        <w:rPr>
          <w:sz w:val="22"/>
        </w:rPr>
      </w:pPr>
      <w:r>
        <w:rPr>
          <w:sz w:val="22"/>
        </w:rPr>
        <w:t>From:</w:t>
        <w:tab/>
        <w:tab/>
        <w:tab/>
        <w:tab/>
        <w:t>Enron North America Corp. (“ENA”)</w:t>
      </w:r>
    </w:p>
    <w:p>
      <w:pPr>
        <w:pStyle w:val="Normal"/>
        <w:rPr>
          <w:sz w:val="22"/>
        </w:rPr>
      </w:pPr>
      <w:r>
        <w:rPr>
          <w:sz w:val="22"/>
        </w:rPr>
        <w:t>Re:</w:t>
        <w:tab/>
        <w:tab/>
        <w:tab/>
        <w:tab/>
        <w:t>Collar</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r>
    </w:p>
    <w:p>
      <w:pPr>
        <w:pStyle w:val="Normal"/>
        <w:widowControl/>
        <w:ind w:hanging="630" w:start="720" w:end="0"/>
        <w:rPr>
          <w:b/>
          <w:sz w:val="22"/>
        </w:rPr>
      </w:pPr>
      <w:r>
        <w:rPr>
          <w:b/>
          <w:sz w:val="22"/>
        </w:rPr>
        <w:t>General Terms for Collar:</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tab/>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del w:id="1" w:author="Sylvia Dooley" w:date="2001-04-23T12:11:00Z"/>
        </w:rPr>
      </w:pPr>
      <w:r>
        <w:rPr>
          <w:sz w:val="22"/>
        </w:rPr>
        <w:t>Option Type:</w:t>
        <w:tab/>
        <w:tab/>
        <w:tab/>
        <w:tab/>
        <w:t>Collar</w:t>
      </w:r>
      <w:del w:id="0" w:author="Sylvia Dooley" w:date="2001-04-23T12:11:00Z">
        <w:r>
          <w:rPr>
            <w:sz w:val="22"/>
          </w:rPr>
          <w:delText xml:space="preserve"> Option</w:delText>
        </w:r>
      </w:del>
    </w:p>
    <w:p>
      <w:pPr>
        <w:pStyle w:val="Normal"/>
        <w:widowControl/>
        <w:ind w:start="720" w:end="0"/>
        <w:rPr>
          <w:sz w:val="22"/>
        </w:rPr>
      </w:pPr>
      <w:r>
        <w:rPr>
          <w:sz w:val="22"/>
        </w:rPr>
        <w:t xml:space="preserve"> </w:t>
      </w:r>
      <w:r>
        <w:rPr>
          <w:sz w:val="22"/>
        </w:rPr>
        <w:t>(Call &amp; Put)</w:t>
      </w:r>
    </w:p>
    <w:p>
      <w:pPr>
        <w:pStyle w:val="Normal"/>
        <w:widowControl/>
        <w:ind w:start="720" w:end="0"/>
        <w:rPr>
          <w:sz w:val="22"/>
        </w:rPr>
      </w:pPr>
      <w:r>
        <w:rPr>
          <w:sz w:val="22"/>
        </w:rPr>
      </w:r>
    </w:p>
    <w:p>
      <w:pPr>
        <w:pStyle w:val="Normal"/>
        <w:widowControl/>
        <w:ind w:start="720" w:end="0"/>
        <w:rPr>
          <w:sz w:val="22"/>
        </w:rPr>
      </w:pPr>
      <w:r>
        <w:rPr>
          <w:sz w:val="22"/>
        </w:rPr>
        <w:t>Automatic Exercise:</w:t>
        <w:tab/>
        <w:tab/>
        <w:tab/>
        <w:t>Applicable</w:t>
      </w:r>
      <w:ins w:id="2" w:author="Sylvia Dooley" w:date="2001-04-23T12:11:00Z">
        <w:r>
          <w:rPr>
            <w:sz w:val="22"/>
          </w:rPr>
          <w:t xml:space="preserve"> </w:t>
        </w:r>
      </w:ins>
    </w:p>
    <w:p>
      <w:pPr>
        <w:pStyle w:val="Normal"/>
        <w:widowControl/>
        <w:ind w:start="720" w:end="0"/>
        <w:rPr>
          <w:sz w:val="22"/>
        </w:rPr>
      </w:pPr>
      <w:r>
        <w:rPr>
          <w:sz w:val="22"/>
        </w:rPr>
        <w:tab/>
      </w:r>
    </w:p>
    <w:p>
      <w:pPr>
        <w:pStyle w:val="Normal"/>
        <w:widowControl/>
        <w:ind w:start="720" w:end="0"/>
        <w:rPr>
          <w:sz w:val="22"/>
        </w:rPr>
      </w:pPr>
      <w:r>
        <w:rPr>
          <w:sz w:val="22"/>
        </w:rPr>
        <w:t>Written Confirmation:</w:t>
        <w:tab/>
        <w:tab/>
        <w:tab/>
        <w:t>Inapplicable</w:t>
        <w:tab/>
      </w:r>
    </w:p>
    <w:p>
      <w:pPr>
        <w:pStyle w:val="Normal"/>
        <w:widowControl/>
        <w:ind w:start="720" w:end="0"/>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del w:id="3" w:author="sshackl" w:date="2001-04-23T18:16:00Z"/>
              </w:rPr>
            </w:pPr>
            <w:r>
              <w:rPr>
                <w:sz w:val="22"/>
              </w:rPr>
              <w:t xml:space="preserve">Notional Quantity Per </w:t>
            </w:r>
          </w:p>
          <w:p>
            <w:pPr>
              <w:pStyle w:val="Normal"/>
              <w:widowControl/>
              <w:ind w:start="720" w:end="0"/>
              <w:rPr>
                <w:sz w:val="22"/>
              </w:rPr>
            </w:pPr>
            <w:r>
              <w:rPr>
                <w:sz w:val="22"/>
              </w:rPr>
              <w:t>Determination Period:</w:t>
            </w:r>
          </w:p>
        </w:tc>
        <w:tc>
          <w:tcPr>
            <w:tcW w:w="4788" w:type="dxa"/>
            <w:tcBorders/>
          </w:tcPr>
          <w:p>
            <w:pPr>
              <w:pStyle w:val="Normal"/>
              <w:widowControl/>
              <w:snapToGrid w:val="false"/>
              <w:ind w:start="720" w:end="0"/>
              <w:rPr>
                <w:sz w:val="22"/>
                <w:del w:id="5" w:author="sshackl" w:date="2001-04-23T18:16:00Z"/>
              </w:rPr>
            </w:pPr>
            <w:del w:id="4" w:author="sshackl" w:date="2001-04-23T18:16:00Z">
              <w:r>
                <w:rPr>
                  <w:sz w:val="22"/>
                </w:rPr>
              </w:r>
            </w:del>
          </w:p>
          <w:p>
            <w:pPr>
              <w:pStyle w:val="Normal"/>
              <w:widowControl/>
              <w:jc w:val="both"/>
              <w:rPr>
                <w:del w:id="17" w:author="sshackl" w:date="2001-04-23T18:16:00Z"/>
              </w:rPr>
            </w:pPr>
            <w:del w:id="6" w:author="sshackl" w:date="2001-04-23T18:16:00Z">
              <w:r>
                <w:rPr>
                  <w:sz w:val="22"/>
                </w:rPr>
                <w:delText xml:space="preserve">__ MWs per hour times the number of On-Peak Hour for each </w:delText>
              </w:r>
            </w:del>
            <w:ins w:id="7" w:author="Sylvia Dooley" w:date="2001-04-23T12:12:00Z">
              <w:del w:id="8" w:author="sshackl" w:date="2001-04-23T18:16:00Z">
                <w:r>
                  <w:rPr>
                    <w:sz w:val="22"/>
                  </w:rPr>
                  <w:delText xml:space="preserve">Determination Period </w:delText>
                </w:r>
              </w:del>
            </w:ins>
            <w:del w:id="9" w:author="sshackl" w:date="2001-04-23T18:16:00Z">
              <w:r>
                <w:rPr>
                  <w:sz w:val="22"/>
                </w:rPr>
                <w:delText xml:space="preserve">during the </w:delText>
              </w:r>
            </w:del>
            <w:del w:id="10" w:author="Sylvia Dooley" w:date="2001-04-23T12:12:00Z">
              <w:r>
                <w:rPr>
                  <w:sz w:val="22"/>
                </w:rPr>
                <w:delText xml:space="preserve"> Determination Period</w:delText>
              </w:r>
            </w:del>
            <w:ins w:id="11" w:author="Sylvia Dooley" w:date="2001-04-23T12:12:00Z">
              <w:del w:id="12" w:author="sshackl" w:date="2001-04-23T18:16:00Z">
                <w:r>
                  <w:rPr>
                    <w:sz w:val="22"/>
                  </w:rPr>
                  <w:delText>month</w:delText>
                </w:r>
              </w:del>
            </w:ins>
            <w:del w:id="13" w:author="sshackl" w:date="2001-04-23T18:16:00Z">
              <w:r>
                <w:rPr>
                  <w:sz w:val="22"/>
                </w:rPr>
                <w:delText xml:space="preserve"> </w:delText>
              </w:r>
            </w:del>
            <w:ins w:id="14" w:author="Sylvia Dooley" w:date="2001-04-23T12:12:00Z">
              <w:del w:id="15" w:author="sshackl" w:date="2001-04-23T18:16:00Z">
                <w:r>
                  <w:rPr>
                    <w:sz w:val="22"/>
                  </w:rPr>
                  <w:delText>of May</w:delText>
                </w:r>
              </w:del>
            </w:ins>
            <w:del w:id="16" w:author="sshackl" w:date="2001-04-23T18:16:00Z">
              <w:r>
                <w:rPr>
                  <w:sz w:val="22"/>
                </w:rPr>
                <w:delText xml:space="preserve"> 2001.</w:delText>
              </w:r>
            </w:del>
          </w:p>
          <w:p>
            <w:pPr>
              <w:pStyle w:val="Normal"/>
              <w:widowControl/>
              <w:jc w:val="both"/>
              <w:rPr>
                <w:sz w:val="22"/>
                <w:del w:id="19" w:author="sshackl" w:date="2001-04-23T18:16:00Z"/>
              </w:rPr>
            </w:pPr>
            <w:del w:id="18" w:author="sshackl" w:date="2001-04-23T18:16:00Z">
              <w:r>
                <w:rPr>
                  <w:sz w:val="22"/>
                </w:rPr>
              </w:r>
            </w:del>
          </w:p>
          <w:p>
            <w:pPr>
              <w:pStyle w:val="Normal"/>
              <w:widowControl/>
              <w:jc w:val="both"/>
              <w:rPr>
                <w:del w:id="29" w:author="sshackl" w:date="2001-04-23T18:16:00Z"/>
              </w:rPr>
            </w:pPr>
            <w:del w:id="20" w:author="sshackl" w:date="2001-04-23T18:16:00Z">
              <w:r>
                <w:rPr>
                  <w:sz w:val="22"/>
                </w:rPr>
                <w:delText xml:space="preserve"> </w:delText>
              </w:r>
            </w:del>
            <w:del w:id="21" w:author="sshackl" w:date="2001-04-23T18:16:00Z">
              <w:r>
                <w:rPr>
                  <w:sz w:val="22"/>
                </w:rPr>
                <w:delText xml:space="preserve">__ MWs per hour times the number of On-Peak Hour for each </w:delText>
              </w:r>
            </w:del>
            <w:ins w:id="22" w:author="Sylvia Dooley" w:date="2001-04-23T12:12:00Z">
              <w:del w:id="23" w:author="sshackl" w:date="2001-04-23T18:16:00Z">
                <w:r>
                  <w:rPr>
                    <w:sz w:val="22"/>
                  </w:rPr>
                  <w:delText xml:space="preserve">Determination Period </w:delText>
                </w:r>
              </w:del>
            </w:ins>
            <w:del w:id="24" w:author="sshackl" w:date="2001-04-23T18:16:00Z">
              <w:r>
                <w:rPr>
                  <w:sz w:val="22"/>
                </w:rPr>
                <w:delText xml:space="preserve">during the </w:delText>
              </w:r>
            </w:del>
            <w:del w:id="25" w:author="Sylvia Dooley" w:date="2001-04-23T12:12:00Z">
              <w:r>
                <w:rPr>
                  <w:sz w:val="22"/>
                </w:rPr>
                <w:delText xml:space="preserve"> Determination Period</w:delText>
              </w:r>
            </w:del>
            <w:ins w:id="26" w:author="Sylvia Dooley" w:date="2001-04-23T12:12:00Z">
              <w:del w:id="27" w:author="sshackl" w:date="2001-04-23T18:16:00Z">
                <w:r>
                  <w:rPr>
                    <w:sz w:val="22"/>
                  </w:rPr>
                  <w:delText>month of</w:delText>
                </w:r>
              </w:del>
            </w:ins>
            <w:del w:id="28" w:author="sshackl" w:date="2001-04-23T18:16:00Z">
              <w:r>
                <w:rPr>
                  <w:sz w:val="22"/>
                </w:rPr>
                <w:delText xml:space="preserve"> June 2001.</w:delText>
              </w:r>
            </w:del>
          </w:p>
          <w:p>
            <w:pPr>
              <w:pStyle w:val="Normal"/>
              <w:widowControl/>
              <w:jc w:val="both"/>
              <w:rPr>
                <w:sz w:val="22"/>
                <w:del w:id="31" w:author="sshackl" w:date="2001-04-23T18:16:00Z"/>
              </w:rPr>
            </w:pPr>
            <w:del w:id="30" w:author="sshackl" w:date="2001-04-23T18:16:00Z">
              <w:r>
                <w:rPr>
                  <w:sz w:val="22"/>
                </w:rPr>
              </w:r>
            </w:del>
          </w:p>
          <w:p>
            <w:pPr>
              <w:pStyle w:val="Normal"/>
              <w:widowControl/>
              <w:jc w:val="both"/>
              <w:rPr>
                <w:del w:id="40" w:author="sshackl" w:date="2001-04-23T18:16:00Z"/>
              </w:rPr>
            </w:pPr>
            <w:del w:id="32" w:author="sshackl" w:date="2001-04-23T18:16:00Z">
              <w:r>
                <w:rPr>
                  <w:sz w:val="22"/>
                </w:rPr>
                <w:delText xml:space="preserve">__ MWs per hour times the number of On-Peak Hour for each </w:delText>
              </w:r>
            </w:del>
            <w:ins w:id="33" w:author="Sylvia Dooley" w:date="2001-04-23T12:12:00Z">
              <w:del w:id="34" w:author="sshackl" w:date="2001-04-23T18:16:00Z">
                <w:r>
                  <w:rPr>
                    <w:sz w:val="22"/>
                  </w:rPr>
                  <w:delText xml:space="preserve">Determination Period </w:delText>
                </w:r>
              </w:del>
            </w:ins>
            <w:del w:id="35" w:author="sshackl" w:date="2001-04-23T18:16:00Z">
              <w:r>
                <w:rPr>
                  <w:sz w:val="22"/>
                </w:rPr>
                <w:delText xml:space="preserve">during the </w:delText>
              </w:r>
            </w:del>
            <w:del w:id="36" w:author="Sylvia Dooley" w:date="2001-04-23T12:12:00Z">
              <w:r>
                <w:rPr>
                  <w:sz w:val="22"/>
                </w:rPr>
                <w:delText xml:space="preserve"> Determination Period</w:delText>
              </w:r>
            </w:del>
            <w:ins w:id="37" w:author="Sylvia Dooley" w:date="2001-04-23T12:12:00Z">
              <w:del w:id="38" w:author="sshackl" w:date="2001-04-23T18:16:00Z">
                <w:r>
                  <w:rPr>
                    <w:sz w:val="22"/>
                  </w:rPr>
                  <w:delText>month of</w:delText>
                </w:r>
              </w:del>
            </w:ins>
            <w:del w:id="39" w:author="sshackl" w:date="2001-04-23T18:16:00Z">
              <w:r>
                <w:rPr>
                  <w:sz w:val="22"/>
                </w:rPr>
                <w:delText xml:space="preserve"> July 2001.</w:delText>
              </w:r>
            </w:del>
          </w:p>
          <w:p>
            <w:pPr>
              <w:pStyle w:val="Normal"/>
              <w:widowControl/>
              <w:jc w:val="both"/>
              <w:rPr>
                <w:sz w:val="22"/>
                <w:del w:id="42" w:author="sshackl" w:date="2001-04-23T18:16:00Z"/>
              </w:rPr>
            </w:pPr>
            <w:del w:id="41" w:author="sshackl" w:date="2001-04-23T18:16:00Z">
              <w:r>
                <w:rPr>
                  <w:sz w:val="22"/>
                </w:rPr>
              </w:r>
            </w:del>
          </w:p>
          <w:p>
            <w:pPr>
              <w:pStyle w:val="Normal"/>
              <w:widowControl/>
              <w:jc w:val="both"/>
              <w:rPr>
                <w:del w:id="51" w:author="sshackl" w:date="2001-04-23T18:16:00Z"/>
              </w:rPr>
            </w:pPr>
            <w:del w:id="43" w:author="sshackl" w:date="2001-04-23T18:16:00Z">
              <w:r>
                <w:rPr>
                  <w:sz w:val="22"/>
                </w:rPr>
                <w:delText xml:space="preserve">__ MWs per hour times the number of On-Peak Hour for each </w:delText>
              </w:r>
            </w:del>
            <w:ins w:id="44" w:author="Sylvia Dooley" w:date="2001-04-23T12:12:00Z">
              <w:del w:id="45" w:author="sshackl" w:date="2001-04-23T18:16:00Z">
                <w:r>
                  <w:rPr>
                    <w:sz w:val="22"/>
                  </w:rPr>
                  <w:delText xml:space="preserve">Determination Period </w:delText>
                </w:r>
              </w:del>
            </w:ins>
            <w:del w:id="46" w:author="sshackl" w:date="2001-04-23T18:16:00Z">
              <w:r>
                <w:rPr>
                  <w:sz w:val="22"/>
                </w:rPr>
                <w:delText xml:space="preserve">during the </w:delText>
              </w:r>
            </w:del>
            <w:del w:id="47" w:author="Sylvia Dooley" w:date="2001-04-23T12:12:00Z">
              <w:r>
                <w:rPr>
                  <w:sz w:val="22"/>
                </w:rPr>
                <w:delText xml:space="preserve"> Determination Period</w:delText>
              </w:r>
            </w:del>
            <w:ins w:id="48" w:author="Sylvia Dooley" w:date="2001-04-23T12:12:00Z">
              <w:del w:id="49" w:author="sshackl" w:date="2001-04-23T18:16:00Z">
                <w:r>
                  <w:rPr>
                    <w:sz w:val="22"/>
                  </w:rPr>
                  <w:delText>month of</w:delText>
                </w:r>
              </w:del>
            </w:ins>
            <w:del w:id="50" w:author="sshackl" w:date="2001-04-23T18:16:00Z">
              <w:r>
                <w:rPr>
                  <w:sz w:val="22"/>
                </w:rPr>
                <w:delText xml:space="preserve"> August 2001.</w:delText>
              </w:r>
            </w:del>
          </w:p>
          <w:p>
            <w:pPr>
              <w:pStyle w:val="Normal"/>
              <w:widowControl/>
              <w:jc w:val="both"/>
              <w:rPr>
                <w:sz w:val="22"/>
                <w:del w:id="53" w:author="sshackl" w:date="2001-04-23T18:16:00Z"/>
              </w:rPr>
            </w:pPr>
            <w:del w:id="52" w:author="sshackl" w:date="2001-04-23T18:16:00Z">
              <w:r>
                <w:rPr>
                  <w:sz w:val="22"/>
                </w:rPr>
              </w:r>
            </w:del>
          </w:p>
          <w:p>
            <w:pPr>
              <w:pStyle w:val="Normal"/>
              <w:widowControl/>
              <w:jc w:val="both"/>
              <w:rPr>
                <w:del w:id="62" w:author="sshackl" w:date="2001-04-23T18:16:00Z"/>
              </w:rPr>
            </w:pPr>
            <w:del w:id="54" w:author="sshackl" w:date="2001-04-23T18:16:00Z">
              <w:r>
                <w:rPr>
                  <w:sz w:val="22"/>
                </w:rPr>
                <w:delText xml:space="preserve">__ MWs per hour times the number of On-Peak Hour for each </w:delText>
              </w:r>
            </w:del>
            <w:ins w:id="55" w:author="Sylvia Dooley" w:date="2001-04-23T12:12:00Z">
              <w:del w:id="56" w:author="sshackl" w:date="2001-04-23T18:16:00Z">
                <w:r>
                  <w:rPr>
                    <w:sz w:val="22"/>
                  </w:rPr>
                  <w:delText xml:space="preserve">Determination Period </w:delText>
                </w:r>
              </w:del>
            </w:ins>
            <w:del w:id="57" w:author="sshackl" w:date="2001-04-23T18:16:00Z">
              <w:r>
                <w:rPr>
                  <w:sz w:val="22"/>
                </w:rPr>
                <w:delText xml:space="preserve">during the </w:delText>
              </w:r>
            </w:del>
            <w:del w:id="58" w:author="Sylvia Dooley" w:date="2001-04-23T12:12:00Z">
              <w:r>
                <w:rPr>
                  <w:sz w:val="22"/>
                </w:rPr>
                <w:delText xml:space="preserve"> Determination Period</w:delText>
              </w:r>
            </w:del>
            <w:ins w:id="59" w:author="Sylvia Dooley" w:date="2001-04-23T12:12:00Z">
              <w:del w:id="60" w:author="sshackl" w:date="2001-04-23T18:16:00Z">
                <w:r>
                  <w:rPr>
                    <w:sz w:val="22"/>
                  </w:rPr>
                  <w:delText>month of</w:delText>
                </w:r>
              </w:del>
            </w:ins>
            <w:del w:id="61" w:author="sshackl" w:date="2001-04-23T18:16:00Z">
              <w:r>
                <w:rPr>
                  <w:sz w:val="22"/>
                </w:rPr>
                <w:delText xml:space="preserve"> September 2001  </w:delText>
              </w:r>
            </w:del>
          </w:p>
          <w:p>
            <w:pPr>
              <w:pStyle w:val="Normal"/>
              <w:widowControl/>
              <w:jc w:val="both"/>
              <w:rPr>
                <w:sz w:val="22"/>
                <w:del w:id="64" w:author="sshackl" w:date="2001-04-23T18:16:00Z"/>
              </w:rPr>
            </w:pPr>
            <w:del w:id="63" w:author="sshackl" w:date="2001-04-23T18:16:00Z">
              <w:r>
                <w:rPr>
                  <w:sz w:val="22"/>
                </w:rPr>
              </w:r>
            </w:del>
          </w:p>
          <w:p>
            <w:pPr>
              <w:pStyle w:val="Normal"/>
              <w:widowControl/>
              <w:jc w:val="both"/>
              <w:rPr>
                <w:sz w:val="22"/>
                <w:ins w:id="73" w:author="sshackl" w:date="2001-04-23T18:46:00Z"/>
              </w:rPr>
            </w:pPr>
            <w:del w:id="65" w:author="sshackl" w:date="2001-04-23T18:16:00Z">
              <w:r>
                <w:rPr>
                  <w:sz w:val="22"/>
                </w:rPr>
                <w:delText xml:space="preserve">__ MWs per hour times the number of On-Peak Hour for each </w:delText>
              </w:r>
            </w:del>
            <w:ins w:id="66" w:author="Sylvia Dooley" w:date="2001-04-23T12:12:00Z">
              <w:del w:id="67" w:author="sshackl" w:date="2001-04-23T18:16:00Z">
                <w:r>
                  <w:rPr>
                    <w:sz w:val="22"/>
                  </w:rPr>
                  <w:delText xml:space="preserve">Determination Period </w:delText>
                </w:r>
              </w:del>
            </w:ins>
            <w:del w:id="68" w:author="sshackl" w:date="2001-04-23T18:16:00Z">
              <w:r>
                <w:rPr>
                  <w:sz w:val="22"/>
                </w:rPr>
                <w:delText xml:space="preserve">during the </w:delText>
              </w:r>
            </w:del>
            <w:del w:id="69" w:author="Sylvia Dooley" w:date="2001-04-23T12:12:00Z">
              <w:r>
                <w:rPr>
                  <w:sz w:val="22"/>
                </w:rPr>
                <w:delText xml:space="preserve"> Determination Period</w:delText>
              </w:r>
            </w:del>
            <w:ins w:id="70" w:author="Sylvia Dooley" w:date="2001-04-23T12:12:00Z">
              <w:del w:id="71" w:author="sshackl" w:date="2001-04-23T18:16:00Z">
                <w:r>
                  <w:rPr>
                    <w:sz w:val="22"/>
                  </w:rPr>
                  <w:delText>month of</w:delText>
                </w:r>
              </w:del>
            </w:ins>
            <w:del w:id="72" w:author="sshackl" w:date="2001-04-23T18:16:00Z">
              <w:r>
                <w:rPr>
                  <w:sz w:val="22"/>
                </w:rPr>
                <w:delText xml:space="preserve"> October 2001.</w:delText>
              </w:r>
            </w:del>
          </w:p>
          <w:p>
            <w:pPr>
              <w:pStyle w:val="Normal"/>
              <w:widowControl/>
              <w:jc w:val="both"/>
              <w:rPr>
                <w:sz w:val="22"/>
                <w:ins w:id="75" w:author="sshackl" w:date="2001-04-23T18:46:00Z"/>
              </w:rPr>
            </w:pPr>
            <w:ins w:id="74" w:author="sshackl" w:date="2001-04-23T18:46:00Z">
              <w:r>
                <w:rPr>
                  <w:sz w:val="22"/>
                </w:rPr>
              </w:r>
            </w:ins>
          </w:p>
          <w:p>
            <w:pPr>
              <w:pStyle w:val="Normal"/>
              <w:widowControl/>
              <w:jc w:val="both"/>
              <w:rPr>
                <w:sz w:val="22"/>
                <w:ins w:id="77" w:author="sshackl" w:date="2001-04-23T18:22:00Z"/>
              </w:rPr>
            </w:pPr>
            <w:ins w:id="76" w:author="sshackl" w:date="2001-04-23T18:46:00Z">
              <w:r>
                <w:rPr>
                  <w:sz w:val="22"/>
                </w:rPr>
                <w:t>See Annex 1 attached hereto</w:t>
              </w:r>
            </w:ins>
          </w:p>
          <w:p>
            <w:pPr>
              <w:pStyle w:val="Normal"/>
              <w:widowControl/>
              <w:jc w:val="both"/>
              <w:rPr>
                <w:sz w:val="22"/>
                <w:ins w:id="79" w:author="sshackl" w:date="2001-04-23T18:22:00Z"/>
              </w:rPr>
            </w:pPr>
            <w:ins w:id="78" w:author="sshackl" w:date="2001-04-23T18:22:00Z">
              <w:r>
                <w:rPr>
                  <w:sz w:val="22"/>
                </w:rPr>
              </w:r>
            </w:ins>
          </w:p>
          <w:p>
            <w:pPr>
              <w:pStyle w:val="Normal"/>
              <w:ind w:start="1350" w:end="0"/>
              <w:jc w:val="both"/>
              <w:rPr>
                <w:sz w:val="22"/>
                <w:ins w:id="81" w:author="sshackl" w:date="2001-04-23T18:22:00Z"/>
              </w:rPr>
            </w:pPr>
            <w:ins w:id="80" w:author="sshackl" w:date="2001-04-23T18:22:00Z">
              <w:r>
                <w:rPr>
                  <w:sz w:val="22"/>
                </w:rPr>
              </w:r>
            </w:ins>
          </w:p>
          <w:p>
            <w:pPr>
              <w:pStyle w:val="Normal"/>
              <w:widowControl/>
              <w:jc w:val="both"/>
              <w:rPr>
                <w:sz w:val="22"/>
              </w:rPr>
            </w:pPr>
            <w:r>
              <w:rPr>
                <w:sz w:val="22"/>
              </w:rPr>
            </w:r>
          </w:p>
        </w:tc>
      </w:tr>
    </w:tbl>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hanging="3600" w:start="4320" w:end="0"/>
        <w:rPr/>
      </w:pPr>
      <w:r>
        <w:rPr>
          <w:sz w:val="22"/>
        </w:rPr>
        <w:t>Determination Periods:</w:t>
        <w:tab/>
        <w:t xml:space="preserve">Each day </w:t>
      </w:r>
      <w:ins w:id="82" w:author="sshackl" w:date="2001-04-23T18:19:00Z">
        <w:r>
          <w:rPr>
            <w:sz w:val="22"/>
          </w:rPr>
          <w:t>during the term of this Transaction</w:t>
        </w:r>
      </w:ins>
      <w:del w:id="83" w:author="sshackl" w:date="2001-04-23T18:20:00Z">
        <w:r>
          <w:rPr>
            <w:sz w:val="22"/>
          </w:rPr>
          <w:delText>with On-Peak Hours</w:delText>
        </w:r>
      </w:del>
      <w:r>
        <w:rPr>
          <w:sz w:val="22"/>
        </w:rPr>
        <w:t xml:space="preserve"> beginning with May 1, 2001 and </w:t>
      </w:r>
      <w:ins w:id="84" w:author="sshackl" w:date="2001-04-23T18:21:00Z">
        <w:r>
          <w:rPr>
            <w:sz w:val="22"/>
          </w:rPr>
          <w:t>e</w:t>
        </w:r>
      </w:ins>
      <w:del w:id="85" w:author="sshackl" w:date="2001-04-23T18:21:00Z">
        <w:r>
          <w:rPr/>
          <w:delText>E</w:delText>
        </w:r>
      </w:del>
      <w:r>
        <w:rPr/>
        <w:t>nding on October 31, 2001.</w:t>
        <w:br/>
        <w:br/>
      </w:r>
      <w:del w:id="86" w:author="sshackl" w:date="2001-04-23T18:20:00Z">
        <w:r>
          <w:rPr/>
          <w:delText>“On-Peak Hours” means the hours commencing HE 0800 through HE 2300 Eastern Prevailing Time, Monday through Friday (excluding holidays of the North American Electric Reliability Council).</w:delText>
        </w:r>
      </w:del>
    </w:p>
    <w:p>
      <w:pPr>
        <w:pStyle w:val="BodyTextIndent"/>
        <w:ind w:hanging="4320" w:start="720" w:end="0"/>
        <w:rPr/>
      </w:pPr>
      <w:r>
        <w:rPr/>
        <w:t>Determination Periods</w:t>
      </w:r>
    </w:p>
    <w:p>
      <w:pPr>
        <w:pStyle w:val="Normal"/>
        <w:widowControl/>
        <w:ind w:start="720" w:end="0"/>
        <w:rPr>
          <w:sz w:val="22"/>
          <w:ins w:id="88" w:author="sshackl" w:date="2001-04-23T18:23:00Z"/>
        </w:rPr>
      </w:pPr>
      <w:del w:id="87" w:author="sshackl" w:date="2001-04-23T18:20:00Z">
        <w:r>
          <w:rPr>
            <w:sz w:val="22"/>
          </w:rPr>
          <w:delText>Call Price and Put Price (may vary by month):</w:delText>
        </w:r>
      </w:del>
    </w:p>
    <w:p>
      <w:pPr>
        <w:pStyle w:val="Normal"/>
        <w:widowControl/>
        <w:ind w:start="720" w:end="0"/>
        <w:rPr>
          <w:sz w:val="22"/>
        </w:rPr>
      </w:pPr>
      <w:ins w:id="89" w:author="sshackl" w:date="2001-04-23T18:23:00Z">
        <w:r>
          <w:rPr>
            <w:sz w:val="22"/>
          </w:rPr>
          <w:t>[move this chart to an “Annex 1” attached to the document</w:t>
        </w:r>
      </w:ins>
      <w:ins w:id="90" w:author="sshackl" w:date="2001-04-23T18:25:00Z">
        <w:r>
          <w:rPr>
            <w:sz w:val="22"/>
          </w:rPr>
          <w:t xml:space="preserve"> and add column for “Notional Quantity per Determination Period” for On-Peak Hours</w:t>
        </w:r>
      </w:ins>
      <w:ins w:id="91" w:author="sshackl" w:date="2001-04-23T18:23:00Z">
        <w:r>
          <w:rPr>
            <w:sz w:val="22"/>
          </w:rPr>
          <w:t>]</w:t>
        </w:r>
      </w:ins>
    </w:p>
    <w:p>
      <w:pPr>
        <w:pStyle w:val="BodyTextIndent"/>
        <w:ind w:hanging="4320" w:start="720" w:end="0"/>
        <w:rPr/>
      </w:pPr>
      <w:r>
        <w:rPr/>
        <w:t>Determination Periods</w:t>
      </w:r>
    </w:p>
    <w:p>
      <w:pPr>
        <w:pStyle w:val="Normal"/>
        <w:ind w:start="1350" w:end="0"/>
        <w:jc w:val="both"/>
        <w:rPr>
          <w:sz w:val="22"/>
        </w:rPr>
      </w:pPr>
      <w:r>
        <w:rPr>
          <w:sz w:val="22"/>
          <w:u w:val="single"/>
        </w:rPr>
        <w:t>Month</w:t>
      </w:r>
      <w:r>
        <w:rPr>
          <w:sz w:val="22"/>
        </w:rPr>
        <w:tab/>
        <w:tab/>
        <w:tab/>
        <w:t xml:space="preserve">   </w:t>
        <w:tab/>
        <w:t xml:space="preserve"> </w:t>
      </w:r>
      <w:r>
        <w:rPr>
          <w:sz w:val="22"/>
          <w:u w:val="single"/>
        </w:rPr>
        <w:t>Call Strike Price (Cap)</w:t>
        <w:tab/>
      </w:r>
      <w:r>
        <w:rPr>
          <w:sz w:val="22"/>
        </w:rPr>
        <w:tab/>
      </w:r>
      <w:r>
        <w:rPr>
          <w:sz w:val="22"/>
          <w:u w:val="single"/>
        </w:rPr>
        <w:t>Put Strike Price (Floor)</w:t>
      </w:r>
    </w:p>
    <w:p>
      <w:pPr>
        <w:pStyle w:val="Normal"/>
        <w:ind w:start="1350" w:end="0"/>
        <w:jc w:val="both"/>
        <w:rPr>
          <w:sz w:val="22"/>
        </w:rPr>
      </w:pPr>
      <w:r>
        <w:rPr>
          <w:sz w:val="22"/>
        </w:rPr>
        <w:t>May 2001</w:t>
        <w:tab/>
        <w:tab/>
        <w:tab/>
        <w:t>$       /MWh</w:t>
        <w:tab/>
        <w:tab/>
        <w:tab/>
        <w:t>$      /MWh</w:t>
      </w:r>
    </w:p>
    <w:p>
      <w:pPr>
        <w:pStyle w:val="Normal"/>
        <w:ind w:start="1350" w:end="0"/>
        <w:jc w:val="both"/>
        <w:rPr>
          <w:sz w:val="22"/>
        </w:rPr>
      </w:pPr>
      <w:r>
        <w:rPr>
          <w:sz w:val="22"/>
        </w:rPr>
        <w:t>June 2001</w:t>
        <w:tab/>
        <w:tab/>
        <w:tab/>
        <w:t>$       /MWh</w:t>
        <w:tab/>
        <w:tab/>
        <w:tab/>
        <w:t>$      /MWh</w:t>
      </w:r>
    </w:p>
    <w:p>
      <w:pPr>
        <w:pStyle w:val="Normal"/>
        <w:ind w:start="1350" w:end="0"/>
        <w:jc w:val="both"/>
        <w:rPr>
          <w:sz w:val="22"/>
        </w:rPr>
      </w:pPr>
      <w:r>
        <w:rPr>
          <w:sz w:val="22"/>
        </w:rPr>
        <w:t>July 2001</w:t>
        <w:tab/>
        <w:tab/>
        <w:tab/>
        <w:t>$       /MWh</w:t>
        <w:tab/>
        <w:tab/>
        <w:tab/>
        <w:t>$      /MWh</w:t>
      </w:r>
    </w:p>
    <w:p>
      <w:pPr>
        <w:pStyle w:val="Normal"/>
        <w:ind w:start="1350" w:end="0"/>
        <w:jc w:val="both"/>
        <w:rPr>
          <w:sz w:val="22"/>
        </w:rPr>
      </w:pPr>
      <w:r>
        <w:rPr>
          <w:sz w:val="22"/>
        </w:rPr>
        <w:t>August 2001</w:t>
        <w:tab/>
        <w:tab/>
        <w:tab/>
        <w:t>$       /MWh</w:t>
        <w:tab/>
        <w:tab/>
        <w:tab/>
        <w:t>$      /MWh</w:t>
      </w:r>
    </w:p>
    <w:p>
      <w:pPr>
        <w:pStyle w:val="Normal"/>
        <w:ind w:start="1350" w:end="0"/>
        <w:jc w:val="both"/>
        <w:rPr>
          <w:sz w:val="22"/>
        </w:rPr>
      </w:pPr>
      <w:r>
        <w:rPr>
          <w:sz w:val="22"/>
        </w:rPr>
        <w:t>September 2001</w:t>
        <w:tab/>
        <w:tab/>
        <w:tab/>
        <w:t>$       /MWh</w:t>
        <w:tab/>
        <w:tab/>
        <w:tab/>
        <w:t>$       /MWh</w:t>
      </w:r>
    </w:p>
    <w:p>
      <w:pPr>
        <w:pStyle w:val="Normal"/>
        <w:ind w:start="1350" w:end="0"/>
        <w:jc w:val="both"/>
        <w:rPr>
          <w:sz w:val="22"/>
        </w:rPr>
      </w:pPr>
      <w:r>
        <w:rPr>
          <w:sz w:val="22"/>
        </w:rPr>
        <w:t>October 2001</w:t>
        <w:tab/>
        <w:tab/>
        <w:tab/>
        <w:t>$       /MWh</w:t>
        <w:tab/>
        <w:tab/>
        <w:tab/>
        <w:t>$       /MWh</w:t>
      </w:r>
    </w:p>
    <w:p>
      <w:pPr>
        <w:pStyle w:val="Normal"/>
        <w:widowControl/>
        <w:ind w:start="720" w:end="0"/>
        <w:rPr>
          <w:sz w:val="22"/>
        </w:rPr>
      </w:pPr>
      <w:r>
        <w:rPr>
          <w:sz w:val="22"/>
        </w:rPr>
      </w:r>
    </w:p>
    <w:p>
      <w:pPr>
        <w:pStyle w:val="Normal"/>
        <w:ind w:hanging="3510" w:start="4230" w:end="0"/>
        <w:rPr>
          <w:sz w:val="22"/>
          <w:ins w:id="92" w:author="sshackl" w:date="2001-04-23T18:46:00Z"/>
        </w:rPr>
      </w:pPr>
      <w:r>
        <w:rPr>
          <w:sz w:val="22"/>
        </w:rPr>
        <w:t xml:space="preserve">Floating Price: </w:t>
      </w:r>
    </w:p>
    <w:p>
      <w:pPr>
        <w:pStyle w:val="Normal"/>
        <w:ind w:hanging="3510" w:start="4230" w:end="0"/>
        <w:rPr>
          <w:sz w:val="22"/>
          <w:ins w:id="94" w:author="sshackl" w:date="2001-04-23T18:46:00Z"/>
        </w:rPr>
      </w:pPr>
      <w:ins w:id="93" w:author="sshackl" w:date="2001-04-23T18:46:00Z">
        <w:r>
          <w:rPr>
            <w:sz w:val="22"/>
          </w:rPr>
        </w:r>
      </w:ins>
    </w:p>
    <w:p>
      <w:pPr>
        <w:pStyle w:val="Normal"/>
        <w:ind w:hanging="3510" w:start="4230" w:end="0"/>
        <w:rPr>
          <w:sz w:val="22"/>
          <w:ins w:id="96" w:author="sshackl" w:date="2001-04-23T18:46:00Z"/>
        </w:rPr>
      </w:pPr>
      <w:ins w:id="95" w:author="sshackl" w:date="2001-04-23T18:46:00Z">
        <w:r>
          <w:rPr>
            <w:sz w:val="22"/>
          </w:rPr>
        </w:r>
      </w:ins>
    </w:p>
    <w:p>
      <w:pPr>
        <w:pStyle w:val="Normal"/>
        <w:ind w:hanging="3510" w:start="4230" w:end="0"/>
        <w:rPr>
          <w:b/>
          <w:sz w:val="22"/>
        </w:rPr>
      </w:pPr>
      <w:r>
        <w:rPr>
          <w:sz w:val="22"/>
        </w:rPr>
        <w:tab/>
        <w:t xml:space="preserve">For each Determination Period, the average of the hourly day-ahead prices (per MWh) as appearing on the last day of the month containing such Determination Period on the New York Independent System Operator’s (the “NYISO’s”) official web site currently located at </w:t>
      </w:r>
      <w:r>
        <w:rPr>
          <w:sz w:val="22"/>
          <w:u w:val="single"/>
        </w:rPr>
        <w:t>http://mis.nyiso.com/public/index.html</w:t>
      </w:r>
      <w:r>
        <w:rPr>
          <w:sz w:val="22"/>
        </w:rPr>
        <w:t>, or any successor thereto, under the headings “Day Ahead Market LBMP – Zonal; Zonal Prices; [N.Y.C. (61761)]” for “On-Peak Hours” during</w:t>
      </w:r>
      <w:ins w:id="97" w:author="Sylvia Dooley" w:date="2001-04-23T08:41:00Z">
        <w:r>
          <w:rPr>
            <w:sz w:val="22"/>
          </w:rPr>
          <w:t xml:space="preserve"> </w:t>
        </w:r>
      </w:ins>
      <w:r>
        <w:rPr>
          <w:sz w:val="22"/>
        </w:rPr>
        <w:t xml:space="preserve">that day. </w:t>
      </w:r>
    </w:p>
    <w:p>
      <w:pPr>
        <w:pStyle w:val="Normal"/>
        <w:rPr>
          <w:b/>
          <w:sz w:val="22"/>
        </w:rPr>
      </w:pPr>
      <w:r>
        <w:rPr>
          <w:b/>
          <w:sz w:val="22"/>
        </w:rPr>
      </w:r>
    </w:p>
    <w:p>
      <w:pPr>
        <w:pStyle w:val="Normal"/>
        <w:widowControl/>
        <w:ind w:hanging="90" w:start="4320" w:end="0"/>
        <w:rPr>
          <w:ins w:id="100" w:author="sshackl" w:date="2001-04-23T18:47:00Z"/>
        </w:rPr>
      </w:pPr>
      <w:ins w:id="98" w:author="sshackl" w:date="2001-04-23T18:20:00Z">
        <w:r>
          <w:rPr/>
          <w:t>“</w:t>
        </w:r>
      </w:ins>
      <w:ins w:id="99" w:author="sshackl" w:date="2001-04-23T18:20:00Z">
        <w:r>
          <w:rPr/>
          <w:t>On-Peak Hours” means the hours commencing HE 0800 through HE 2300 Eastern Prevailing Time, Monday through Friday (excluding holidays of the North American Electric Reliability Council).</w:t>
        </w:r>
      </w:ins>
    </w:p>
    <w:p>
      <w:pPr>
        <w:pStyle w:val="Normal"/>
        <w:widowControl/>
        <w:ind w:hanging="90" w:start="4320" w:end="0"/>
        <w:rPr>
          <w:ins w:id="102" w:author="sshackl" w:date="2001-04-23T18:47:00Z"/>
        </w:rPr>
      </w:pPr>
      <w:ins w:id="101" w:author="sshackl" w:date="2001-04-23T18:47:00Z">
        <w:r>
          <w:rPr/>
        </w:r>
      </w:ins>
    </w:p>
    <w:p>
      <w:pPr>
        <w:pStyle w:val="Normal"/>
        <w:widowControl/>
        <w:ind w:hanging="90" w:start="4320" w:end="0"/>
        <w:rPr>
          <w:ins w:id="104" w:author="sshackl" w:date="2001-04-23T18:20:00Z"/>
        </w:rPr>
      </w:pPr>
      <w:ins w:id="103" w:author="sshackl" w:date="2001-04-23T18:20:00Z">
        <w:r>
          <w:rPr/>
        </w:r>
      </w:ins>
    </w:p>
    <w:p>
      <w:pPr>
        <w:pStyle w:val="Normal"/>
        <w:ind w:start="4230" w:end="0"/>
        <w:rPr>
          <w:sz w:val="22"/>
          <w:ins w:id="106" w:author="sshackl" w:date="2001-04-23T18:46:00Z"/>
        </w:rPr>
      </w:pPr>
      <w:ins w:id="105" w:author="sshackl" w:date="2001-04-23T18:46:00Z">
        <w:r>
          <w:rPr>
            <w:sz w:val="22"/>
          </w:rPr>
        </w:r>
      </w:ins>
    </w:p>
    <w:p>
      <w:pPr>
        <w:pStyle w:val="Normal"/>
        <w:ind w:start="4230" w:end="0"/>
        <w:rPr>
          <w:sz w:val="22"/>
          <w:ins w:id="108" w:author="sshackl" w:date="2001-04-23T18:46:00Z"/>
        </w:rPr>
      </w:pPr>
      <w:ins w:id="107" w:author="sshackl" w:date="2001-04-23T18:46:00Z">
        <w:r>
          <w:rPr>
            <w:sz w:val="22"/>
          </w:rPr>
        </w:r>
      </w:ins>
    </w:p>
    <w:p>
      <w:pPr>
        <w:pStyle w:val="Normal"/>
        <w:ind w:start="4230" w:end="0"/>
        <w:rPr>
          <w:sz w:val="22"/>
        </w:rPr>
      </w:pPr>
      <w:r>
        <w:rPr>
          <w:sz w:val="22"/>
        </w:rPr>
      </w:r>
    </w:p>
    <w:p>
      <w:pPr>
        <w:pStyle w:val="Normal"/>
        <w:ind w:start="4230" w:end="0"/>
        <w:rPr>
          <w:sz w:val="22"/>
          <w:ins w:id="110" w:author="sshackl" w:date="2001-04-23T18:47:00Z"/>
        </w:rPr>
      </w:pPr>
      <w:ins w:id="109" w:author="sshackl" w:date="2001-04-23T18:47:00Z">
        <w:r>
          <w:rPr>
            <w:sz w:val="22"/>
          </w:rPr>
          <w:t>See Annex 1 attached hereto</w:t>
        </w:r>
      </w:ins>
    </w:p>
    <w:p>
      <w:pPr>
        <w:pStyle w:val="Normal"/>
        <w:widowControl/>
        <w:ind w:start="720" w:end="0"/>
        <w:rPr>
          <w:sz w:val="22"/>
          <w:ins w:id="112" w:author="sshackl" w:date="2001-04-23T18:47:00Z"/>
        </w:rPr>
      </w:pPr>
      <w:ins w:id="111" w:author="sshackl" w:date="2001-04-23T18:47:00Z">
        <w:r>
          <w:rPr>
            <w:sz w:val="22"/>
          </w:rPr>
          <w:t>Call Strike Price:</w:t>
        </w:r>
      </w:ins>
    </w:p>
    <w:p>
      <w:pPr>
        <w:pStyle w:val="Normal"/>
        <w:widowControl/>
        <w:ind w:start="720" w:end="0"/>
        <w:rPr>
          <w:sz w:val="22"/>
          <w:ins w:id="114" w:author="sshackl" w:date="2001-04-23T18:47:00Z"/>
        </w:rPr>
      </w:pPr>
      <w:ins w:id="113" w:author="sshackl" w:date="2001-04-23T18:47:00Z">
        <w:r>
          <w:rPr>
            <w:sz w:val="22"/>
          </w:rPr>
        </w:r>
      </w:ins>
    </w:p>
    <w:p>
      <w:pPr>
        <w:pStyle w:val="Normal"/>
        <w:widowControl/>
        <w:ind w:start="720" w:end="0"/>
        <w:rPr>
          <w:sz w:val="22"/>
          <w:ins w:id="116" w:author="sshackl" w:date="2001-04-23T18:47:00Z"/>
        </w:rPr>
      </w:pPr>
      <w:ins w:id="115" w:author="sshackl" w:date="2001-04-23T18:47:00Z">
        <w:r>
          <w:rPr>
            <w:sz w:val="22"/>
          </w:rPr>
          <w:t>Put Strike Price:</w:t>
          <w:tab/>
          <w:tab/>
          <w:tab/>
          <w:t>See Annex 1 attached hereto</w:t>
        </w:r>
      </w:ins>
    </w:p>
    <w:p>
      <w:pPr>
        <w:pStyle w:val="Normal"/>
        <w:widowControl/>
        <w:ind w:start="720" w:end="0"/>
        <w:rPr>
          <w:sz w:val="22"/>
          <w:ins w:id="118" w:author="sshackl" w:date="2001-04-23T18:47:00Z"/>
        </w:rPr>
      </w:pPr>
      <w:ins w:id="117" w:author="sshackl" w:date="2001-04-23T18:47:00Z">
        <w:r>
          <w:rPr>
            <w:sz w:val="22"/>
          </w:rPr>
        </w:r>
      </w:ins>
    </w:p>
    <w:p>
      <w:pPr>
        <w:pStyle w:val="Normal"/>
        <w:widowControl/>
        <w:ind w:start="720" w:end="0"/>
        <w:rPr>
          <w:sz w:val="22"/>
        </w:rPr>
      </w:pPr>
      <w:r>
        <w:rPr>
          <w:sz w:val="22"/>
        </w:rPr>
        <w:t xml:space="preserve">Floating Price </w:t>
      </w:r>
    </w:p>
    <w:p>
      <w:pPr>
        <w:pStyle w:val="Normal"/>
        <w:widowControl/>
        <w:ind w:start="720" w:end="0"/>
        <w:rPr>
          <w:sz w:val="22"/>
        </w:rPr>
      </w:pPr>
      <w:r>
        <w:rPr>
          <w:sz w:val="22"/>
        </w:rPr>
        <w:t>Payor (Call Seller):</w:t>
        <w:tab/>
        <w:tab/>
        <w:tab/>
        <w:t>ENA</w:t>
      </w:r>
    </w:p>
    <w:p>
      <w:pPr>
        <w:pStyle w:val="Normal"/>
        <w:ind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 (Put Seller):</w:t>
        <w:tab/>
        <w:tab/>
        <w:tab/>
        <w:t>Counterparty</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pPr>
            <w:ins w:id="119" w:author="sshackl" w:date="2001-04-23T18:26:00Z">
              <w:r>
                <w:rPr>
                  <w:sz w:val="22"/>
                </w:rPr>
                <w:t>Cash</w:t>
              </w:r>
            </w:ins>
            <w:del w:id="120" w:author="sshackl" w:date="2001-04-23T18:26:00Z">
              <w:r>
                <w:rPr>
                  <w:sz w:val="22"/>
                </w:rPr>
                <w:delText>Monthly</w:delText>
              </w:r>
            </w:del>
            <w:r>
              <w:rPr>
                <w:sz w:val="22"/>
              </w:rPr>
              <w:t xml:space="preserve"> </w:t>
            </w:r>
            <w:del w:id="121" w:author="sshackl" w:date="2001-04-23T18:26:00Z">
              <w:r>
                <w:rPr>
                  <w:sz w:val="22"/>
                </w:rPr>
                <w:delText>Settlement</w:delText>
              </w:r>
            </w:del>
            <w:ins w:id="122" w:author="sshackl" w:date="2001-04-23T18:26:00Z">
              <w:r>
                <w:rPr>
                  <w:sz w:val="22"/>
                </w:rPr>
                <w:t>Settlemen Amount</w:t>
              </w:r>
            </w:ins>
            <w:r>
              <w:rPr>
                <w:sz w:val="22"/>
              </w:rPr>
              <w:t>:</w:t>
            </w:r>
          </w:p>
        </w:tc>
        <w:tc>
          <w:tcPr>
            <w:tcW w:w="4788" w:type="dxa"/>
            <w:tcBorders/>
          </w:tcPr>
          <w:p>
            <w:pPr>
              <w:pStyle w:val="BodyTextIndent"/>
              <w:ind w:hanging="0" w:start="-18" w:end="0"/>
              <w:jc w:val="both"/>
              <w:rPr/>
            </w:pPr>
            <w:r>
              <w:rPr/>
              <w:t xml:space="preserve">On the applicable Payment Date, </w:t>
            </w:r>
            <w:ins w:id="123" w:author="sshackl" w:date="2001-04-23T18:30:00Z">
              <w:r>
                <w:rPr/>
                <w:t xml:space="preserve">(1) </w:t>
              </w:r>
            </w:ins>
            <w:ins w:id="124" w:author="sshackl" w:date="2001-04-23T18:27:00Z">
              <w:r>
                <w:rPr/>
                <w:t xml:space="preserve">if the Call Cash Settlement Amount exceeds the Put Cash Settlement Amount then </w:t>
              </w:r>
            </w:ins>
            <w:del w:id="125" w:author="sshackl" w:date="2001-04-23T18:29:00Z">
              <w:r>
                <w:rPr/>
                <w:delText xml:space="preserve">either </w:delText>
              </w:r>
            </w:del>
            <w:r>
              <w:rPr/>
              <w:t xml:space="preserve">the Floating Price Payor will pay the </w:t>
            </w:r>
            <w:ins w:id="126" w:author="sshackl" w:date="2001-04-23T18:30:00Z">
              <w:r>
                <w:rPr/>
                <w:t xml:space="preserve">absolute value of the difference between the </w:t>
              </w:r>
            </w:ins>
            <w:r>
              <w:rPr/>
              <w:t>Call Cash Settlement Amount</w:t>
            </w:r>
            <w:ins w:id="127" w:author="sshackl" w:date="2001-04-23T18:30:00Z">
              <w:r>
                <w:rPr/>
                <w:t xml:space="preserve"> and the Put Cash Settlement Amount to the Fixed Price Payor</w:t>
              </w:r>
            </w:ins>
            <w:r>
              <w:rPr/>
              <w:t xml:space="preserve"> or</w:t>
            </w:r>
            <w:ins w:id="128" w:author="sshackl" w:date="2001-04-23T18:32:00Z">
              <w:r>
                <w:rPr/>
                <w:t xml:space="preserve"> (2) it the Put Cash Settlemt Amount exceeds the Call Cash Settlement Amount then</w:t>
              </w:r>
            </w:ins>
            <w:r>
              <w:rPr/>
              <w:t xml:space="preserve"> the Fixed Price Payor will pay the </w:t>
            </w:r>
            <w:ins w:id="129" w:author="sshackl" w:date="2001-04-23T18:32:00Z">
              <w:r>
                <w:rPr/>
                <w:t xml:space="preserve">absolute value of the difference between the </w:t>
              </w:r>
            </w:ins>
            <w:r>
              <w:rPr/>
              <w:t>Put Cash Settlement Amount</w:t>
            </w:r>
            <w:ins w:id="130" w:author="sshackl" w:date="2001-04-23T18:33:00Z">
              <w:r>
                <w:rPr/>
                <w:t xml:space="preserve"> and the Call Cash Settlement Amount to the Floating Price Payor</w:t>
              </w:r>
            </w:ins>
            <w:r>
              <w:rPr/>
              <w:t>, calculated as follows:</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Call Cash Settlement Amount:</w:t>
            </w:r>
          </w:p>
        </w:tc>
        <w:tc>
          <w:tcPr>
            <w:tcW w:w="4788" w:type="dxa"/>
            <w:tcBorders/>
          </w:tcPr>
          <w:p>
            <w:pPr>
              <w:pStyle w:val="Normal"/>
              <w:widowControl/>
              <w:ind w:start="-18" w:end="0"/>
              <w:jc w:val="both"/>
              <w:rPr/>
            </w:pPr>
            <w:r>
              <w:rPr>
                <w:sz w:val="22"/>
              </w:rPr>
              <w:t xml:space="preserve"> </w:t>
            </w:r>
            <w:del w:id="131" w:author="sshackl" w:date="2001-04-23T18:36:00Z">
              <w:r>
                <w:rPr>
                  <w:sz w:val="22"/>
                </w:rPr>
                <w:delText xml:space="preserve">For each month in which a Determination Period occurs, the excess, if any, of </w:delText>
              </w:r>
            </w:del>
            <w:del w:id="132" w:author="sshackl" w:date="2001-04-23T18:36:00Z">
              <w:r>
                <w:rPr>
                  <w:b/>
                  <w:sz w:val="22"/>
                </w:rPr>
                <w:delText>(A)</w:delText>
              </w:r>
            </w:del>
            <w:del w:id="133" w:author="sshackl" w:date="2001-04-23T18:36:00Z">
              <w:r>
                <w:rPr>
                  <w:sz w:val="22"/>
                </w:rPr>
                <w:delText xml:space="preserve"> </w:delText>
              </w:r>
            </w:del>
            <w:r>
              <w:rPr>
                <w:sz w:val="22"/>
              </w:rPr>
              <w:t>the sum of the</w:t>
            </w:r>
            <w:ins w:id="134" w:author="sshackl" w:date="2001-04-23T18:36:00Z">
              <w:r>
                <w:rPr>
                  <w:sz w:val="22"/>
                </w:rPr>
                <w:t xml:space="preserve"> following calculations</w:t>
              </w:r>
            </w:ins>
            <w:del w:id="135" w:author="sshackl" w:date="2001-04-23T18:37:00Z">
              <w:r>
                <w:rPr>
                  <w:sz w:val="22"/>
                </w:rPr>
                <w:delText xml:space="preserve"> products of the following factors in respect of</w:delText>
              </w:r>
            </w:del>
            <w:ins w:id="136" w:author="sshackl" w:date="2001-04-23T18:37:00Z">
              <w:r>
                <w:rPr>
                  <w:sz w:val="22"/>
                </w:rPr>
                <w:t xml:space="preserve"> for</w:t>
              </w:r>
            </w:ins>
            <w:r>
              <w:rPr>
                <w:sz w:val="22"/>
              </w:rPr>
              <w:t xml:space="preserve"> each Determination Period during </w:t>
            </w:r>
            <w:ins w:id="137" w:author="sshackl" w:date="2001-04-23T18:37:00Z">
              <w:r>
                <w:rPr>
                  <w:sz w:val="22"/>
                </w:rPr>
                <w:t>the relevant</w:t>
              </w:r>
            </w:ins>
            <w:del w:id="138" w:author="sshackl" w:date="2001-04-23T18:38:00Z">
              <w:r>
                <w:rPr>
                  <w:sz w:val="22"/>
                </w:rPr>
                <w:delText>such</w:delText>
              </w:r>
            </w:del>
            <w:r>
              <w:rPr>
                <w:sz w:val="22"/>
              </w:rPr>
              <w:t xml:space="preserve"> month: (i) the excess, if any, of the Floating Price over the Call Strike Price </w:t>
            </w:r>
            <w:del w:id="139" w:author="sshackl" w:date="2001-04-23T18:38:00Z">
              <w:r>
                <w:rPr>
                  <w:sz w:val="22"/>
                </w:rPr>
                <w:delText>applicable to the Determination Period (if there is no such excess, use zero for this factor)</w:delText>
              </w:r>
            </w:del>
            <w:r>
              <w:rPr>
                <w:sz w:val="22"/>
              </w:rPr>
              <w:t xml:space="preserve"> and (ii) the Notional Quantity per Determination Period</w:t>
            </w:r>
            <w:del w:id="140" w:author="sshackl" w:date="2001-04-23T18:41:00Z">
              <w:r>
                <w:rPr>
                  <w:sz w:val="22"/>
                </w:rPr>
                <w:delText>, over</w:delText>
              </w:r>
            </w:del>
            <w:r>
              <w:rPr>
                <w:sz w:val="22"/>
              </w:rPr>
              <w:t xml:space="preserve"> </w:t>
            </w:r>
            <w:del w:id="141" w:author="sshackl" w:date="2001-04-23T18:38:00Z">
              <w:r>
                <w:rPr>
                  <w:b/>
                  <w:sz w:val="22"/>
                </w:rPr>
                <w:delText xml:space="preserve">(B) </w:delText>
              </w:r>
            </w:del>
            <w:del w:id="142" w:author="sshackl" w:date="2001-04-23T18:38:00Z">
              <w:r>
                <w:rPr>
                  <w:sz w:val="22"/>
                </w:rPr>
                <w:delText>the sum of the products of the following factors in respect of each Determination Period during such month: (i) the excess, if any, of the Put Strike Price per Determination Period over the Floating Price for such day (if there is no such excess, use zero for this factor) and (ii) the Notional Quantity per Determination Period</w:delText>
              </w:r>
            </w:del>
            <w:r>
              <w:rPr>
                <w:sz w:val="22"/>
              </w:rPr>
              <w:t>.</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tabs>
                <w:tab w:val="left" w:pos="720" w:leader="none"/>
                <w:tab w:val="left" w:pos="4248" w:leader="none"/>
                <w:tab w:val="left" w:pos="9918" w:leader="none"/>
              </w:tabs>
              <w:ind w:start="720" w:end="0"/>
              <w:jc w:val="both"/>
              <w:rPr>
                <w:sz w:val="22"/>
              </w:rPr>
            </w:pPr>
            <w:r>
              <w:rPr>
                <w:sz w:val="22"/>
              </w:rPr>
              <w:t>Put Cash Settlement Amount:</w:t>
            </w:r>
          </w:p>
        </w:tc>
        <w:tc>
          <w:tcPr>
            <w:tcW w:w="4788" w:type="dxa"/>
            <w:tcBorders/>
          </w:tcPr>
          <w:p>
            <w:pPr>
              <w:pStyle w:val="Normal"/>
              <w:widowControl/>
              <w:ind w:start="-18" w:end="0"/>
              <w:jc w:val="both"/>
              <w:rPr>
                <w:sz w:val="22"/>
              </w:rPr>
            </w:pPr>
            <w:del w:id="143" w:author="sshackl" w:date="2001-04-23T18:39:00Z">
              <w:r>
                <w:rPr>
                  <w:sz w:val="22"/>
                </w:rPr>
                <w:delText xml:space="preserve">For each month in which a Determination Period occurs, the excess, if any, of </w:delText>
              </w:r>
            </w:del>
            <w:del w:id="144" w:author="sshackl" w:date="2001-04-23T18:39:00Z">
              <w:r>
                <w:rPr>
                  <w:b/>
                  <w:sz w:val="22"/>
                </w:rPr>
                <w:delText>(A)</w:delText>
              </w:r>
            </w:del>
            <w:r>
              <w:rPr>
                <w:b/>
                <w:sz w:val="22"/>
              </w:rPr>
              <w:t xml:space="preserve"> </w:t>
            </w:r>
            <w:r>
              <w:rPr>
                <w:sz w:val="22"/>
              </w:rPr>
              <w:t xml:space="preserve">the sum of </w:t>
            </w:r>
            <w:del w:id="145" w:author="sshackl" w:date="2001-04-23T18:39:00Z">
              <w:r>
                <w:rPr>
                  <w:sz w:val="22"/>
                </w:rPr>
                <w:delText xml:space="preserve">the </w:delText>
              </w:r>
            </w:del>
            <w:ins w:id="146" w:author="sshackl" w:date="2001-04-23T18:39:00Z">
              <w:r>
                <w:rPr>
                  <w:sz w:val="22"/>
                </w:rPr>
                <w:t>the following calculations</w:t>
              </w:r>
            </w:ins>
            <w:del w:id="147" w:author="sshackl" w:date="2001-04-23T18:40:00Z">
              <w:r>
                <w:rPr>
                  <w:sz w:val="22"/>
                </w:rPr>
                <w:delText>products of the following factors in respect of</w:delText>
              </w:r>
            </w:del>
            <w:ins w:id="148" w:author="sshackl" w:date="2001-04-23T18:40:00Z">
              <w:r>
                <w:rPr>
                  <w:sz w:val="22"/>
                </w:rPr>
                <w:t xml:space="preserve"> for</w:t>
              </w:r>
            </w:ins>
            <w:r>
              <w:rPr>
                <w:sz w:val="22"/>
              </w:rPr>
              <w:t xml:space="preserve"> each Determination Period during </w:t>
            </w:r>
            <w:del w:id="149" w:author="sshackl" w:date="2001-04-23T18:40:00Z">
              <w:r>
                <w:rPr>
                  <w:sz w:val="22"/>
                </w:rPr>
                <w:delText>such</w:delText>
              </w:r>
            </w:del>
            <w:ins w:id="150" w:author="sshackl" w:date="2001-04-23T18:40:00Z">
              <w:r>
                <w:rPr>
                  <w:sz w:val="22"/>
                </w:rPr>
                <w:t>the relevant</w:t>
              </w:r>
            </w:ins>
            <w:r>
              <w:rPr>
                <w:sz w:val="22"/>
              </w:rPr>
              <w:t xml:space="preserve"> month: (i) the excess, if any, of the Put Strike Price </w:t>
            </w:r>
            <w:del w:id="151" w:author="sshackl" w:date="2001-04-23T18:41:00Z">
              <w:r>
                <w:rPr>
                  <w:sz w:val="22"/>
                </w:rPr>
                <w:delText xml:space="preserve">applicable to the Determination Period </w:delText>
              </w:r>
            </w:del>
            <w:r>
              <w:rPr>
                <w:sz w:val="22"/>
              </w:rPr>
              <w:t xml:space="preserve">over the Floating Price </w:t>
            </w:r>
            <w:del w:id="152" w:author="sshackl" w:date="2001-04-23T18:41:00Z">
              <w:r>
                <w:rPr>
                  <w:sz w:val="22"/>
                </w:rPr>
                <w:delText>(if there is no such excess, use zero for this factor)</w:delText>
              </w:r>
            </w:del>
            <w:r>
              <w:rPr>
                <w:sz w:val="22"/>
              </w:rPr>
              <w:t xml:space="preserve"> and (ii) the Notional Quantity per Determination Period</w:t>
            </w:r>
            <w:del w:id="153" w:author="sshackl" w:date="2001-04-23T18:42:00Z">
              <w:r>
                <w:rPr>
                  <w:sz w:val="22"/>
                </w:rPr>
                <w:delText xml:space="preserve">, over  </w:delText>
              </w:r>
            </w:del>
            <w:del w:id="154" w:author="sshackl" w:date="2001-04-23T18:42:00Z">
              <w:r>
                <w:rPr>
                  <w:b/>
                  <w:sz w:val="22"/>
                </w:rPr>
                <w:delText>(B)</w:delText>
              </w:r>
            </w:del>
            <w:del w:id="155" w:author="sshackl" w:date="2001-04-23T18:42:00Z">
              <w:r>
                <w:rPr>
                  <w:sz w:val="22"/>
                </w:rPr>
                <w:delText xml:space="preserve"> the sum of the products of the following factors in respect of each Determination Period during such month: (i) the excess, if any, of the Floating Price over the Call Strike Price applicable to the Determination Period (if there is no such excess, use zero for this factor), and (ii) the Notional Quantity applicable to the Determination Period.</w:delText>
              </w:r>
            </w:del>
          </w:p>
        </w:tc>
      </w:tr>
      <w:tr>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highlight w:val="yellow"/>
              </w:rPr>
            </w:pPr>
            <w:r>
              <w:rPr>
                <w:sz w:val="22"/>
                <w:highlight w:val="yellow"/>
              </w:rPr>
            </w:r>
          </w:p>
        </w:tc>
      </w:tr>
      <w:tr>
        <w:trPr>
          <w:trHeight w:val="2223" w:hRule="atLeast"/>
        </w:trPr>
        <w:tc>
          <w:tcPr>
            <w:tcW w:w="4428" w:type="dxa"/>
            <w:tcBorders/>
          </w:tcPr>
          <w:p>
            <w:pPr>
              <w:pStyle w:val="Normal"/>
              <w:widowControl/>
              <w:ind w:start="720" w:end="0"/>
              <w:rPr>
                <w:sz w:val="22"/>
              </w:rPr>
            </w:pPr>
            <w:del w:id="156" w:author="sshackl" w:date="2001-04-23T18:43:00Z">
              <w:r>
                <w:rPr>
                  <w:sz w:val="22"/>
                </w:rPr>
                <w:delText>Calculation of Call Cash Settlement Amount and Put Cash Settlement Amount</w:delText>
              </w:r>
            </w:del>
          </w:p>
        </w:tc>
        <w:tc>
          <w:tcPr>
            <w:tcW w:w="4788" w:type="dxa"/>
            <w:tcBorders/>
          </w:tcPr>
          <w:p>
            <w:pPr>
              <w:pStyle w:val="Normal"/>
              <w:widowControl/>
              <w:ind w:start="-18" w:end="0"/>
              <w:rPr>
                <w:sz w:val="22"/>
              </w:rPr>
            </w:pPr>
            <w:del w:id="157" w:author="sshackl" w:date="2001-04-23T18:43:00Z">
              <w:r>
                <w:rPr>
                  <w:sz w:val="22"/>
                </w:rPr>
                <w:delText>The following shall apply to this Transaction in lieu of the first unnumbered paragraph of Section 2 of Annex A:  ENA shall in good faith calculate the Call Cash Settlement Amount and the Put Cash Settlement Amount and promptly notify Counterparty of same.  If ENA fails to so promptly notify Counterparty, Counterparty shall determine such amounts and shall make payment or give notice to ENA accordingly.</w:delText>
              </w:r>
            </w:del>
          </w:p>
        </w:tc>
      </w:tr>
      <w:tr>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highlight w:val="yellow"/>
              </w:rPr>
            </w:pPr>
            <w:r>
              <w:rPr>
                <w:sz w:val="22"/>
                <w:highlight w:val="yellow"/>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pPr>
            <w:r>
              <w:rPr>
                <w:sz w:val="22"/>
              </w:rPr>
              <w:fldChar w:fldCharType="begin"/>
            </w:r>
            <w:r>
              <w:rPr>
                <w:sz w:val="22"/>
              </w:rPr>
              <w:instrText xml:space="preserve"> MERGEFIELD PaymentDates </w:instrText>
            </w:r>
            <w:r>
              <w:rPr>
                <w:sz w:val="22"/>
              </w:rPr>
              <w:fldChar w:fldCharType="separate"/>
            </w:r>
            <w:r>
              <w:rPr>
                <w:sz w:val="22"/>
              </w:rPr>
              <w:t xml:space="preserve">The fifth (5th) Business Day following the </w:t>
            </w:r>
            <w:r>
              <w:rPr>
                <w:sz w:val="22"/>
              </w:rPr>
              <w:fldChar w:fldCharType="end"/>
            </w:r>
            <w:r>
              <w:rPr>
                <w:sz w:val="22"/>
              </w:rPr>
              <w:t>end of the month in which a</w:t>
            </w:r>
            <w:ins w:id="158" w:author="sshackl" w:date="2001-04-23T18:43:00Z">
              <w:r>
                <w:rPr>
                  <w:sz w:val="22"/>
                </w:rPr>
                <w:t>ll</w:t>
              </w:r>
            </w:ins>
            <w:r>
              <w:rPr>
                <w:sz w:val="22"/>
              </w:rPr>
              <w:t xml:space="preserve"> Determination Period</w:t>
            </w:r>
            <w:ins w:id="159" w:author="sshackl" w:date="2001-04-23T18:43:00Z">
              <w:r>
                <w:rPr>
                  <w:sz w:val="22"/>
                </w:rPr>
                <w:t>s</w:t>
              </w:r>
            </w:ins>
            <w:r>
              <w:rPr>
                <w:sz w:val="22"/>
              </w:rPr>
              <w:t xml:space="preserve"> occur</w:t>
            </w:r>
            <w:del w:id="160" w:author="sshackl" w:date="2001-04-23T18:43:00Z">
              <w:r>
                <w:rPr>
                  <w:sz w:val="22"/>
                </w:rPr>
                <w:delText>s</w:delText>
              </w:r>
            </w:del>
            <w:r>
              <w:rPr>
                <w:sz w:val="22"/>
              </w:rPr>
              <w:t>.</w:t>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Credit and other provisions of confirmation contained in Annex A, Annex B, and Annex B-1</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an ISDA Master Agreement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Address:   4 Irving Place</w:t>
            </w:r>
          </w:p>
        </w:tc>
        <w:tc>
          <w:tcPr>
            <w:tcW w:w="5220" w:type="dxa"/>
            <w:tcBorders/>
          </w:tcPr>
          <w:p>
            <w:pPr>
              <w:pStyle w:val="Normal"/>
              <w:rPr>
                <w:sz w:val="22"/>
              </w:rPr>
            </w:pPr>
            <w:r>
              <w:rPr>
                <w:sz w:val="22"/>
              </w:rPr>
              <w:t>Chase Manhattan Bank</w:t>
            </w:r>
          </w:p>
        </w:tc>
      </w:tr>
      <w:tr>
        <w:trPr/>
        <w:tc>
          <w:tcPr>
            <w:tcW w:w="5220" w:type="dxa"/>
            <w:tcBorders/>
          </w:tcPr>
          <w:p>
            <w:pPr>
              <w:pStyle w:val="Normal"/>
              <w:rPr>
                <w:sz w:val="22"/>
              </w:rPr>
            </w:pPr>
            <w:r>
              <w:rPr>
                <w:sz w:val="22"/>
              </w:rPr>
              <w:t xml:space="preserve">                 </w:t>
            </w:r>
            <w:r>
              <w:rPr>
                <w:sz w:val="22"/>
              </w:rPr>
              <w:t>New York, NY 10003</w:t>
            </w:r>
          </w:p>
        </w:tc>
        <w:tc>
          <w:tcPr>
            <w:tcW w:w="5220" w:type="dxa"/>
            <w:tcBorders/>
          </w:tcPr>
          <w:p>
            <w:pPr>
              <w:pStyle w:val="Normal"/>
              <w:rPr>
                <w:sz w:val="22"/>
              </w:rPr>
            </w:pPr>
            <w:r>
              <w:rPr>
                <w:sz w:val="22"/>
              </w:rPr>
              <w:t>ABA No. 021 000 021</w:t>
            </w:r>
          </w:p>
        </w:tc>
      </w:tr>
      <w:tr>
        <w:trPr/>
        <w:tc>
          <w:tcPr>
            <w:tcW w:w="5220" w:type="dxa"/>
            <w:tcBorders/>
          </w:tcPr>
          <w:p>
            <w:pPr>
              <w:pStyle w:val="Normal"/>
              <w:snapToGrid w:val="false"/>
              <w:rPr>
                <w:sz w:val="22"/>
              </w:rPr>
            </w:pPr>
            <w:r>
              <w:rPr>
                <w:sz w:val="22"/>
              </w:rPr>
            </w:r>
          </w:p>
          <w:p>
            <w:pPr>
              <w:pStyle w:val="Normal"/>
              <w:rPr>
                <w:sz w:val="22"/>
              </w:rPr>
            </w:pPr>
            <w:r>
              <w:rPr>
                <w:sz w:val="22"/>
              </w:rPr>
              <w:t>Attention:   Chief Engineer</w:t>
            </w:r>
          </w:p>
          <w:p>
            <w:pPr>
              <w:pStyle w:val="Normal"/>
              <w:rPr>
                <w:sz w:val="22"/>
              </w:rPr>
            </w:pPr>
            <w:r>
              <w:rPr>
                <w:sz w:val="22"/>
              </w:rPr>
              <w:t xml:space="preserve">                  </w:t>
            </w:r>
            <w:r>
              <w:rPr>
                <w:sz w:val="22"/>
              </w:rPr>
              <w:t>Energy Management</w:t>
            </w:r>
          </w:p>
          <w:p>
            <w:pPr>
              <w:pStyle w:val="Normal"/>
              <w:rPr>
                <w:sz w:val="22"/>
              </w:rPr>
            </w:pPr>
            <w:r>
              <w:rPr>
                <w:sz w:val="22"/>
              </w:rPr>
              <w:t xml:space="preserve">                  </w:t>
            </w:r>
            <w:r>
              <w:rPr>
                <w:sz w:val="22"/>
              </w:rPr>
              <w:t>Room 1310-S</w:t>
            </w:r>
          </w:p>
        </w:tc>
        <w:tc>
          <w:tcPr>
            <w:tcW w:w="5220" w:type="dxa"/>
            <w:tcBorders/>
          </w:tcPr>
          <w:p>
            <w:pPr>
              <w:pStyle w:val="Normal"/>
              <w:rPr>
                <w:sz w:val="22"/>
              </w:rPr>
            </w:pPr>
            <w:r>
              <w:rPr>
                <w:sz w:val="22"/>
              </w:rPr>
              <w:t>For:  Consolidated Edison Company of</w:t>
            </w:r>
          </w:p>
          <w:p>
            <w:pPr>
              <w:pStyle w:val="Normal"/>
              <w:rPr>
                <w:sz w:val="22"/>
              </w:rPr>
            </w:pPr>
            <w:r>
              <w:rPr>
                <w:sz w:val="22"/>
              </w:rPr>
              <w:t xml:space="preserve">         </w:t>
            </w:r>
            <w:r>
              <w:rPr>
                <w:sz w:val="22"/>
              </w:rPr>
              <w:t>New York, Inc.</w:t>
            </w:r>
          </w:p>
          <w:p>
            <w:pPr>
              <w:pStyle w:val="Heading1"/>
              <w:ind w:hanging="0" w:start="0"/>
              <w:rPr/>
            </w:pPr>
            <w:r>
              <w:rPr/>
              <w:t>Account No. 009101264514</w:t>
            </w:r>
          </w:p>
        </w:tc>
      </w:tr>
      <w:tr>
        <w:trPr/>
        <w:tc>
          <w:tcPr>
            <w:tcW w:w="5220" w:type="dxa"/>
            <w:tcBorders/>
          </w:tcPr>
          <w:p>
            <w:pPr>
              <w:pStyle w:val="Normal"/>
              <w:rPr>
                <w:sz w:val="22"/>
              </w:rPr>
            </w:pPr>
            <w:r>
              <w:rPr>
                <w:sz w:val="22"/>
              </w:rPr>
              <w:t>Fax:           (917) 534-4042</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Phone:       (212) 460-3537</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i/>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BodyTextIndent3">
    <w:name w:val="Body Text Indent 3"/>
    <w:basedOn w:val="Normal"/>
    <w:qFormat/>
    <w:pPr>
      <w:widowControl/>
      <w:ind w:hanging="0" w:start="43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2001-04-23T14:56:00Z</dcterms:created>
  <dc:creator>Enron User</dc:creator>
  <dc:description/>
  <dc:language>en-CA</dc:language>
  <cp:lastModifiedBy>sshackl</cp:lastModifiedBy>
  <cp:lastPrinted>2001-04-23T13:13:00Z</cp:lastPrinted>
  <dcterms:modified xsi:type="dcterms:W3CDTF">2001-04-23T21:18:00Z</dcterms:modified>
  <cp:revision>8</cp:revision>
  <dc:subject>Magnum Hunter Resources, Inc.</dc:subject>
  <dc:title>EQ9244.1</dc:title>
</cp:coreProperties>
</file>