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 xml:space="preserve"> </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 xml:space="preserve"> </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b/>
          <w:sz w:val="22"/>
        </w:rPr>
      </w:pP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January 23, 2001</w:t>
      </w:r>
      <w:r>
        <w:rPr>
          <w:sz w:val="22"/>
        </w:rPr>
        <w:fldChar w:fldCharType="end"/>
      </w:r>
    </w:p>
    <w:p>
      <w:pPr>
        <w:pStyle w:val="Normal"/>
        <w:rPr>
          <w:sz w:val="22"/>
        </w:rPr>
      </w:pPr>
      <w:r>
        <w:rPr>
          <w:sz w:val="22"/>
        </w:rPr>
        <w:t>To:</w:t>
        <w:tab/>
        <w:tab/>
        <w:tab/>
        <w:tab/>
        <w:t>Consolidated Edison Company Of New York, Inc. (“Counterparty”)</w:t>
      </w:r>
    </w:p>
    <w:p>
      <w:pPr>
        <w:pStyle w:val="Normal"/>
        <w:rPr>
          <w:sz w:val="22"/>
        </w:rPr>
      </w:pPr>
      <w:r>
        <w:rPr>
          <w:sz w:val="22"/>
        </w:rPr>
        <w:t>Attention:</w:t>
        <w:tab/>
        <w:tab/>
        <w:tab/>
      </w:r>
    </w:p>
    <w:p>
      <w:pPr>
        <w:pStyle w:val="Normal"/>
        <w:rPr>
          <w:sz w:val="22"/>
        </w:rPr>
      </w:pPr>
      <w:r>
        <w:rPr>
          <w:sz w:val="22"/>
        </w:rPr>
        <w:t>Fax No.:</w:t>
        <w:tab/>
        <w:tab/>
        <w:tab/>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rPr>
          <w:sz w:val="22"/>
        </w:rPr>
      </w:pPr>
      <w:r>
        <w:rPr>
          <w:sz w:val="22"/>
        </w:rPr>
        <w:t>Re:</w:t>
        <w:tab/>
        <w:tab/>
        <w:tab/>
        <w:tab/>
        <w:t>Commodity Swap 123456.01</w:t>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pPr>
      <w:r>
        <w:rPr/>
        <w:t>General Terms:</w:t>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sz w:val="22"/>
              </w:rPr>
            </w:pPr>
            <w:r>
              <w:rPr>
                <w:sz w:val="22"/>
              </w:rPr>
              <w:t>200 MWs per hour for each On-Peak Hour during the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fldChar w:fldCharType="begin"/>
            </w:r>
            <w:r>
              <w:rPr>
                <w:sz w:val="22"/>
              </w:rPr>
              <w:instrText xml:space="preserve"> MERGEFIELD DealDate </w:instrText>
            </w:r>
            <w:r>
              <w:rPr>
                <w:sz w:val="22"/>
              </w:rPr>
              <w:fldChar w:fldCharType="separate"/>
            </w:r>
            <w:r>
              <w:rPr>
                <w:sz w:val="22"/>
              </w:rPr>
              <w:t>January __, 2001</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t>May 1, 2001</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t>October 31, 2001</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t>Each calendar month beginning with May 1, 2001 and ending on October 31, 2001</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Payments:</w:t>
            </w:r>
          </w:p>
        </w:tc>
        <w:tc>
          <w:tcPr>
            <w:tcW w:w="6102" w:type="dxa"/>
            <w:tcBorders/>
          </w:tcPr>
          <w:p>
            <w:pPr>
              <w:pStyle w:val="Normal"/>
              <w:jc w:val="both"/>
              <w:rPr>
                <w:sz w:val="22"/>
              </w:rPr>
            </w:pPr>
            <w:r>
              <w:rPr>
                <w:color w:val="000000"/>
                <w:sz w:val="22"/>
                <w:lang w:eastAsia="en-US"/>
              </w:rPr>
              <w:t>For each Determination Period, on the applicable Payment Date with respect to this Transaction, a net amount owed for each of Part 1 and Part 2 herein below will be determined pursuant to Section 2(a) of Annex A attached hereto, and those two payments shall be payable on the applicable Payment Date</w:t>
            </w:r>
          </w:p>
        </w:tc>
      </w:tr>
    </w:tbl>
    <w:p>
      <w:pPr>
        <w:pStyle w:val="Normal"/>
        <w:rPr>
          <w:b/>
          <w:sz w:val="22"/>
        </w:rPr>
      </w:pPr>
      <w:r>
        <w:rPr>
          <w:b/>
          <w:sz w:val="22"/>
        </w:rPr>
        <w:t xml:space="preserve"> </w:t>
      </w:r>
      <w:r>
        <w:rPr>
          <w:b/>
          <w:sz w:val="22"/>
        </w:rPr>
        <w:t>Part I Fixed Amount Details:</w:t>
      </w:r>
    </w:p>
    <w:p>
      <w:pPr>
        <w:pStyle w:val="Normal"/>
        <w:rPr>
          <w:b/>
          <w:sz w:val="22"/>
        </w:rPr>
      </w:pPr>
      <w:r>
        <w:rPr>
          <w:b/>
          <w:sz w:val="22"/>
        </w:rPr>
      </w:r>
    </w:p>
    <w:p>
      <w:pPr>
        <w:pStyle w:val="Normal"/>
        <w:jc w:val="both"/>
        <w:rPr>
          <w:sz w:val="22"/>
        </w:rPr>
      </w:pPr>
      <w:r>
        <w:rPr>
          <w:sz w:val="22"/>
        </w:rPr>
        <w:tab/>
        <w:t>Fixed Price Payor:</w:t>
        <w:tab/>
        <w:tab/>
        <w:tab/>
        <w:t>Counterparty</w:t>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3528"/>
        <w:gridCol w:w="6912"/>
      </w:tblGrid>
      <w:tr>
        <w:trPr/>
        <w:tc>
          <w:tcPr>
            <w:tcW w:w="3528" w:type="dxa"/>
            <w:tcBorders/>
          </w:tcPr>
          <w:p>
            <w:pPr>
              <w:pStyle w:val="Normal"/>
              <w:ind w:start="720" w:end="0"/>
              <w:rPr>
                <w:sz w:val="22"/>
              </w:rPr>
            </w:pPr>
            <w:r>
              <w:rPr>
                <w:sz w:val="22"/>
              </w:rPr>
              <w:t>Fixed Price:</w:t>
            </w:r>
          </w:p>
        </w:tc>
        <w:tc>
          <w:tcPr>
            <w:tcW w:w="6912" w:type="dxa"/>
            <w:tcBorders/>
          </w:tcPr>
          <w:p>
            <w:pPr>
              <w:pStyle w:val="Normal"/>
              <w:jc w:val="both"/>
              <w:rPr>
                <w:sz w:val="22"/>
              </w:rPr>
            </w:pPr>
            <w:r>
              <w:rPr>
                <w:sz w:val="22"/>
                <w:u w:val="single"/>
              </w:rPr>
              <w:t>Determination Period</w:t>
            </w:r>
            <w:r>
              <w:rPr>
                <w:sz w:val="22"/>
              </w:rPr>
              <w:t xml:space="preserve">           </w:t>
            </w:r>
            <w:r>
              <w:rPr>
                <w:sz w:val="22"/>
                <w:u w:val="single"/>
              </w:rPr>
              <w:t>Quantity per hour</w:t>
            </w:r>
            <w:r>
              <w:rPr>
                <w:sz w:val="22"/>
              </w:rPr>
              <w:t xml:space="preserve">           </w:t>
            </w:r>
            <w:r>
              <w:rPr>
                <w:sz w:val="22"/>
                <w:u w:val="single"/>
              </w:rPr>
              <w:t>Fixed Price</w:t>
            </w:r>
          </w:p>
          <w:p>
            <w:pPr>
              <w:pStyle w:val="Normal"/>
              <w:jc w:val="both"/>
              <w:rPr>
                <w:sz w:val="22"/>
              </w:rPr>
            </w:pPr>
            <w:r>
              <w:rPr>
                <w:sz w:val="22"/>
              </w:rPr>
              <w:t>May 2001                              100 MWs                       $__/MWh</w:t>
            </w:r>
          </w:p>
          <w:p>
            <w:pPr>
              <w:pStyle w:val="Normal"/>
              <w:jc w:val="both"/>
              <w:rPr>
                <w:sz w:val="22"/>
              </w:rPr>
            </w:pPr>
            <w:r>
              <w:rPr>
                <w:sz w:val="22"/>
              </w:rPr>
              <w:t>June 2001                              100 MWs                       $__/MWh</w:t>
            </w:r>
          </w:p>
          <w:p>
            <w:pPr>
              <w:pStyle w:val="Normal"/>
              <w:jc w:val="both"/>
              <w:rPr>
                <w:sz w:val="22"/>
              </w:rPr>
            </w:pPr>
            <w:r>
              <w:rPr>
                <w:sz w:val="22"/>
              </w:rPr>
              <w:t>July 2001                               100 MWs                       $__/MWh</w:t>
            </w:r>
          </w:p>
          <w:p>
            <w:pPr>
              <w:pStyle w:val="Normal"/>
              <w:jc w:val="both"/>
              <w:rPr>
                <w:sz w:val="22"/>
              </w:rPr>
            </w:pPr>
            <w:r>
              <w:rPr>
                <w:sz w:val="22"/>
              </w:rPr>
              <w:t>August 2001                          100 MWs                       $__/MWh</w:t>
            </w:r>
          </w:p>
          <w:p>
            <w:pPr>
              <w:pStyle w:val="Normal"/>
              <w:jc w:val="both"/>
              <w:rPr>
                <w:sz w:val="22"/>
              </w:rPr>
            </w:pPr>
            <w:r>
              <w:rPr>
                <w:sz w:val="22"/>
              </w:rPr>
              <w:t>September 2001                     100 MWs                      $__/MWh</w:t>
            </w:r>
          </w:p>
          <w:p>
            <w:pPr>
              <w:pStyle w:val="Normal"/>
              <w:jc w:val="both"/>
              <w:rPr>
                <w:sz w:val="22"/>
              </w:rPr>
            </w:pPr>
            <w:r>
              <w:rPr>
                <w:sz w:val="22"/>
              </w:rPr>
              <w:t>October 2001                         100 MWs                      $__/MWh</w:t>
            </w:r>
          </w:p>
          <w:p>
            <w:pPr>
              <w:pStyle w:val="Normal"/>
              <w:jc w:val="both"/>
              <w:rPr>
                <w:sz w:val="22"/>
              </w:rPr>
            </w:pPr>
            <w:r>
              <w:rPr>
                <w:sz w:val="22"/>
              </w:rPr>
            </w:r>
          </w:p>
        </w:tc>
      </w:tr>
    </w:tbl>
    <w:p>
      <w:pPr>
        <w:pStyle w:val="Normal"/>
        <w:rPr>
          <w:b/>
          <w:sz w:val="22"/>
        </w:rPr>
      </w:pPr>
      <w:r>
        <w:rPr>
          <w:b/>
          <w:sz w:val="22"/>
        </w:rPr>
        <w:t>Part I Floating Amount Details:</w:t>
      </w:r>
    </w:p>
    <w:p>
      <w:pPr>
        <w:pStyle w:val="Normal"/>
        <w:rPr>
          <w:b/>
          <w:sz w:val="22"/>
        </w:rPr>
      </w:pPr>
      <w:r>
        <w:rPr>
          <w:b/>
          <w:sz w:val="22"/>
        </w:rPr>
      </w:r>
    </w:p>
    <w:p>
      <w:pPr>
        <w:pStyle w:val="Normal"/>
        <w:jc w:val="both"/>
        <w:rPr>
          <w:sz w:val="22"/>
        </w:rPr>
      </w:pPr>
      <w:r>
        <w:rPr>
          <w:sz w:val="22"/>
        </w:rPr>
        <w:tab/>
        <w:t>Floating Price Payor:</w:t>
        <w:tab/>
        <w:t xml:space="preserve">            ENA</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3528"/>
        <w:gridCol w:w="6912"/>
      </w:tblGrid>
      <w:tr>
        <w:trPr/>
        <w:tc>
          <w:tcPr>
            <w:tcW w:w="3528" w:type="dxa"/>
            <w:tcBorders/>
          </w:tcPr>
          <w:p>
            <w:pPr>
              <w:pStyle w:val="Normal"/>
              <w:ind w:start="720" w:end="0"/>
              <w:rPr>
                <w:sz w:val="22"/>
              </w:rPr>
            </w:pPr>
            <w:r>
              <w:rPr>
                <w:sz w:val="22"/>
              </w:rPr>
              <w:t>Floating Price:</w:t>
            </w:r>
          </w:p>
        </w:tc>
        <w:tc>
          <w:tcPr>
            <w:tcW w:w="6912"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average of the hourly day-ahead prices as published by the New York Independent System Operator (the “NYISO”) on the last day of the month that includes the applicable Determination Period on the NYISO’s official web site currently located at http://www.mis.nyiso.com/public/index.html, or any successor thereto, under the headings “Day Ahead Market LBMP - Zonal; Zonal Prices; HUD VL (61758) (Zone G)” for electricity during “On-Peak Hours” for the applicable Determination Period.</w:t>
              <w:t>“On-Peak Hours” means the hours commencing HE 0800 through HE 2300 Eastern Prevailing Time, Monday through Friday (excluding holidays of the North American Electric Reliability Council)</w:t>
            </w:r>
            <w:r>
              <w:rPr>
                <w:sz w:val="22"/>
              </w:rPr>
              <w:fldChar w:fldCharType="end"/>
            </w:r>
          </w:p>
        </w:tc>
      </w:tr>
      <w:tr>
        <w:trPr/>
        <w:tc>
          <w:tcPr>
            <w:tcW w:w="3528" w:type="dxa"/>
            <w:tcBorders/>
          </w:tcPr>
          <w:p>
            <w:pPr>
              <w:pStyle w:val="Normal"/>
              <w:snapToGrid w:val="false"/>
              <w:rPr>
                <w:sz w:val="22"/>
              </w:rPr>
            </w:pPr>
            <w:r>
              <w:rPr>
                <w:sz w:val="22"/>
              </w:rPr>
            </w:r>
          </w:p>
        </w:tc>
        <w:tc>
          <w:tcPr>
            <w:tcW w:w="6912" w:type="dxa"/>
            <w:tcBorders/>
          </w:tcPr>
          <w:p>
            <w:pPr>
              <w:pStyle w:val="Normal"/>
              <w:snapToGrid w:val="false"/>
              <w:jc w:val="both"/>
              <w:rPr>
                <w:sz w:val="22"/>
              </w:rPr>
            </w:pPr>
            <w:r>
              <w:rPr>
                <w:sz w:val="22"/>
              </w:rPr>
            </w:r>
          </w:p>
        </w:tc>
      </w:tr>
      <w:tr>
        <w:trPr/>
        <w:tc>
          <w:tcPr>
            <w:tcW w:w="3528" w:type="dxa"/>
            <w:tcBorders/>
          </w:tcPr>
          <w:p>
            <w:pPr>
              <w:pStyle w:val="Normal"/>
              <w:rPr>
                <w:b/>
                <w:sz w:val="22"/>
              </w:rPr>
            </w:pPr>
            <w:r>
              <w:rPr>
                <w:b/>
                <w:sz w:val="22"/>
              </w:rPr>
              <w:t>Part II Fixed Amount Details:</w:t>
            </w:r>
          </w:p>
        </w:tc>
        <w:tc>
          <w:tcPr>
            <w:tcW w:w="6912" w:type="dxa"/>
            <w:tcBorders/>
          </w:tcPr>
          <w:p>
            <w:pPr>
              <w:pStyle w:val="Normal"/>
              <w:snapToGrid w:val="false"/>
              <w:jc w:val="both"/>
              <w:rPr>
                <w:b/>
                <w:sz w:val="22"/>
              </w:rPr>
            </w:pPr>
            <w:r>
              <w:rPr>
                <w:b/>
                <w:sz w:val="22"/>
              </w:rPr>
            </w:r>
          </w:p>
        </w:tc>
      </w:tr>
      <w:tr>
        <w:trPr/>
        <w:tc>
          <w:tcPr>
            <w:tcW w:w="3528" w:type="dxa"/>
            <w:tcBorders/>
          </w:tcPr>
          <w:p>
            <w:pPr>
              <w:pStyle w:val="Normal"/>
              <w:snapToGrid w:val="false"/>
              <w:rPr>
                <w:sz w:val="22"/>
              </w:rPr>
            </w:pPr>
            <w:r>
              <w:rPr>
                <w:sz w:val="22"/>
              </w:rPr>
            </w:r>
          </w:p>
        </w:tc>
        <w:tc>
          <w:tcPr>
            <w:tcW w:w="6912" w:type="dxa"/>
            <w:tcBorders/>
          </w:tcPr>
          <w:p>
            <w:pPr>
              <w:pStyle w:val="Normal"/>
              <w:snapToGrid w:val="false"/>
              <w:jc w:val="both"/>
              <w:rPr>
                <w:sz w:val="22"/>
              </w:rPr>
            </w:pPr>
            <w:r>
              <w:rPr>
                <w:sz w:val="22"/>
              </w:rPr>
            </w:r>
          </w:p>
        </w:tc>
      </w:tr>
      <w:tr>
        <w:trPr/>
        <w:tc>
          <w:tcPr>
            <w:tcW w:w="3528" w:type="dxa"/>
            <w:tcBorders/>
          </w:tcPr>
          <w:p>
            <w:pPr>
              <w:pStyle w:val="Normal"/>
              <w:rPr>
                <w:sz w:val="22"/>
              </w:rPr>
            </w:pPr>
            <w:r>
              <w:rPr>
                <w:sz w:val="22"/>
              </w:rPr>
              <w:t xml:space="preserve">         </w:t>
            </w:r>
            <w:r>
              <w:rPr>
                <w:sz w:val="22"/>
              </w:rPr>
              <w:t>Fixed Price Payor:</w:t>
            </w:r>
          </w:p>
        </w:tc>
        <w:tc>
          <w:tcPr>
            <w:tcW w:w="6912" w:type="dxa"/>
            <w:tcBorders/>
          </w:tcPr>
          <w:p>
            <w:pPr>
              <w:pStyle w:val="Normal"/>
              <w:jc w:val="both"/>
              <w:rPr>
                <w:sz w:val="22"/>
              </w:rPr>
            </w:pPr>
            <w:r>
              <w:rPr>
                <w:sz w:val="22"/>
              </w:rPr>
              <w:t>Counterparty</w:t>
            </w:r>
          </w:p>
        </w:tc>
      </w:tr>
      <w:tr>
        <w:trPr/>
        <w:tc>
          <w:tcPr>
            <w:tcW w:w="3528" w:type="dxa"/>
            <w:tcBorders/>
          </w:tcPr>
          <w:p>
            <w:pPr>
              <w:pStyle w:val="Normal"/>
              <w:snapToGrid w:val="false"/>
              <w:rPr>
                <w:sz w:val="22"/>
              </w:rPr>
            </w:pPr>
            <w:r>
              <w:rPr>
                <w:sz w:val="22"/>
              </w:rPr>
            </w:r>
          </w:p>
        </w:tc>
        <w:tc>
          <w:tcPr>
            <w:tcW w:w="6912" w:type="dxa"/>
            <w:tcBorders/>
          </w:tcPr>
          <w:p>
            <w:pPr>
              <w:pStyle w:val="Normal"/>
              <w:snapToGrid w:val="false"/>
              <w:jc w:val="both"/>
              <w:rPr>
                <w:sz w:val="22"/>
              </w:rPr>
            </w:pPr>
            <w:r>
              <w:rPr>
                <w:sz w:val="22"/>
              </w:rPr>
            </w:r>
          </w:p>
        </w:tc>
      </w:tr>
      <w:tr>
        <w:trPr/>
        <w:tc>
          <w:tcPr>
            <w:tcW w:w="3528" w:type="dxa"/>
            <w:tcBorders/>
          </w:tcPr>
          <w:p>
            <w:pPr>
              <w:pStyle w:val="Normal"/>
              <w:rPr>
                <w:sz w:val="22"/>
              </w:rPr>
            </w:pPr>
            <w:r>
              <w:rPr>
                <w:sz w:val="22"/>
              </w:rPr>
              <w:t xml:space="preserve">         </w:t>
            </w:r>
            <w:r>
              <w:rPr>
                <w:sz w:val="22"/>
              </w:rPr>
              <w:t>Fixed Price:</w:t>
            </w:r>
          </w:p>
        </w:tc>
        <w:tc>
          <w:tcPr>
            <w:tcW w:w="6912" w:type="dxa"/>
            <w:tcBorders/>
          </w:tcPr>
          <w:p>
            <w:pPr>
              <w:pStyle w:val="Normal"/>
              <w:jc w:val="both"/>
              <w:rPr>
                <w:sz w:val="22"/>
              </w:rPr>
            </w:pPr>
            <w:r>
              <w:rPr>
                <w:sz w:val="22"/>
                <w:u w:val="single"/>
              </w:rPr>
              <w:t>Determination Period</w:t>
            </w:r>
            <w:r>
              <w:rPr>
                <w:sz w:val="22"/>
              </w:rPr>
              <w:t xml:space="preserve">           </w:t>
            </w:r>
            <w:r>
              <w:rPr>
                <w:sz w:val="22"/>
                <w:u w:val="single"/>
              </w:rPr>
              <w:t>Quantity per hour</w:t>
            </w:r>
            <w:r>
              <w:rPr>
                <w:sz w:val="22"/>
              </w:rPr>
              <w:t xml:space="preserve">           </w:t>
            </w:r>
            <w:r>
              <w:rPr>
                <w:sz w:val="22"/>
                <w:u w:val="single"/>
              </w:rPr>
              <w:t>Fixed Price</w:t>
            </w:r>
          </w:p>
          <w:p>
            <w:pPr>
              <w:pStyle w:val="Normal"/>
              <w:jc w:val="both"/>
              <w:rPr>
                <w:sz w:val="22"/>
              </w:rPr>
            </w:pPr>
            <w:r>
              <w:rPr>
                <w:sz w:val="22"/>
              </w:rPr>
              <w:t>May 2001                              100 MWs                       $__/MWh</w:t>
            </w:r>
          </w:p>
          <w:p>
            <w:pPr>
              <w:pStyle w:val="Normal"/>
              <w:jc w:val="both"/>
              <w:rPr>
                <w:sz w:val="22"/>
              </w:rPr>
            </w:pPr>
            <w:r>
              <w:rPr>
                <w:sz w:val="22"/>
              </w:rPr>
              <w:t>June 2001                              100 MWs                       $__/MWh</w:t>
            </w:r>
          </w:p>
          <w:p>
            <w:pPr>
              <w:pStyle w:val="Normal"/>
              <w:jc w:val="both"/>
              <w:rPr>
                <w:sz w:val="22"/>
              </w:rPr>
            </w:pPr>
            <w:r>
              <w:rPr>
                <w:sz w:val="22"/>
              </w:rPr>
              <w:t>July 2001                               100 MWs                       $__/MWh</w:t>
            </w:r>
          </w:p>
          <w:p>
            <w:pPr>
              <w:pStyle w:val="Normal"/>
              <w:jc w:val="both"/>
              <w:rPr>
                <w:sz w:val="22"/>
              </w:rPr>
            </w:pPr>
            <w:r>
              <w:rPr>
                <w:sz w:val="22"/>
              </w:rPr>
              <w:t>August 2001                          100 MWs                       $__/MWh</w:t>
            </w:r>
          </w:p>
          <w:p>
            <w:pPr>
              <w:pStyle w:val="Normal"/>
              <w:jc w:val="both"/>
              <w:rPr>
                <w:sz w:val="22"/>
              </w:rPr>
            </w:pPr>
            <w:r>
              <w:rPr>
                <w:sz w:val="22"/>
              </w:rPr>
              <w:t>September 2001                     100 MWs                      $__/MWh</w:t>
            </w:r>
          </w:p>
          <w:p>
            <w:pPr>
              <w:pStyle w:val="Normal"/>
              <w:jc w:val="both"/>
              <w:rPr>
                <w:sz w:val="22"/>
              </w:rPr>
            </w:pPr>
            <w:r>
              <w:rPr>
                <w:sz w:val="22"/>
              </w:rPr>
              <w:t>October 2001                         100 MWs                      $__/MWh</w:t>
            </w:r>
          </w:p>
          <w:p>
            <w:pPr>
              <w:pStyle w:val="Normal"/>
              <w:jc w:val="both"/>
              <w:rPr>
                <w:sz w:val="22"/>
              </w:rPr>
            </w:pPr>
            <w:r>
              <w:rPr>
                <w:sz w:val="22"/>
              </w:rPr>
            </w:r>
          </w:p>
        </w:tc>
      </w:tr>
      <w:tr>
        <w:trPr/>
        <w:tc>
          <w:tcPr>
            <w:tcW w:w="3528" w:type="dxa"/>
            <w:tcBorders/>
          </w:tcPr>
          <w:p>
            <w:pPr>
              <w:pStyle w:val="Normal"/>
              <w:snapToGrid w:val="false"/>
              <w:rPr>
                <w:sz w:val="22"/>
              </w:rPr>
            </w:pPr>
            <w:r>
              <w:rPr>
                <w:sz w:val="22"/>
              </w:rPr>
            </w:r>
          </w:p>
        </w:tc>
        <w:tc>
          <w:tcPr>
            <w:tcW w:w="6912" w:type="dxa"/>
            <w:tcBorders/>
          </w:tcPr>
          <w:p>
            <w:pPr>
              <w:pStyle w:val="Normal"/>
              <w:snapToGrid w:val="false"/>
              <w:jc w:val="both"/>
              <w:rPr>
                <w:sz w:val="22"/>
              </w:rPr>
            </w:pPr>
            <w:r>
              <w:rPr>
                <w:sz w:val="22"/>
              </w:rPr>
            </w:r>
          </w:p>
        </w:tc>
      </w:tr>
      <w:tr>
        <w:trPr/>
        <w:tc>
          <w:tcPr>
            <w:tcW w:w="3528" w:type="dxa"/>
            <w:tcBorders/>
          </w:tcPr>
          <w:p>
            <w:pPr>
              <w:pStyle w:val="Normal"/>
              <w:rPr>
                <w:sz w:val="22"/>
              </w:rPr>
            </w:pPr>
            <w:r>
              <w:rPr>
                <w:b/>
                <w:sz w:val="22"/>
              </w:rPr>
              <w:t>Part II Floating Amount Details:</w:t>
            </w:r>
          </w:p>
        </w:tc>
        <w:tc>
          <w:tcPr>
            <w:tcW w:w="6912" w:type="dxa"/>
            <w:tcBorders/>
          </w:tcPr>
          <w:p>
            <w:pPr>
              <w:pStyle w:val="Normal"/>
              <w:snapToGrid w:val="false"/>
              <w:jc w:val="both"/>
              <w:rPr>
                <w:sz w:val="22"/>
              </w:rPr>
            </w:pPr>
            <w:r>
              <w:rPr>
                <w:sz w:val="22"/>
              </w:rPr>
            </w:r>
          </w:p>
        </w:tc>
      </w:tr>
      <w:tr>
        <w:trPr/>
        <w:tc>
          <w:tcPr>
            <w:tcW w:w="3528" w:type="dxa"/>
            <w:tcBorders/>
          </w:tcPr>
          <w:p>
            <w:pPr>
              <w:pStyle w:val="Normal"/>
              <w:snapToGrid w:val="false"/>
              <w:rPr>
                <w:b/>
                <w:sz w:val="22"/>
              </w:rPr>
            </w:pPr>
            <w:r>
              <w:rPr>
                <w:b/>
                <w:sz w:val="22"/>
              </w:rPr>
            </w:r>
          </w:p>
        </w:tc>
        <w:tc>
          <w:tcPr>
            <w:tcW w:w="6912" w:type="dxa"/>
            <w:tcBorders/>
          </w:tcPr>
          <w:p>
            <w:pPr>
              <w:pStyle w:val="Normal"/>
              <w:snapToGrid w:val="false"/>
              <w:jc w:val="both"/>
              <w:rPr>
                <w:b/>
                <w:sz w:val="22"/>
              </w:rPr>
            </w:pPr>
            <w:r>
              <w:rPr>
                <w:b/>
                <w:sz w:val="22"/>
              </w:rPr>
            </w:r>
          </w:p>
        </w:tc>
      </w:tr>
      <w:tr>
        <w:trPr/>
        <w:tc>
          <w:tcPr>
            <w:tcW w:w="3528" w:type="dxa"/>
            <w:tcBorders/>
          </w:tcPr>
          <w:p>
            <w:pPr>
              <w:pStyle w:val="Normal"/>
              <w:rPr/>
            </w:pPr>
            <w:r>
              <w:rPr>
                <w:b/>
                <w:sz w:val="22"/>
              </w:rPr>
              <w:t xml:space="preserve">         </w:t>
            </w:r>
            <w:r>
              <w:rPr>
                <w:sz w:val="22"/>
              </w:rPr>
              <w:t>Floating Price Payor:</w:t>
            </w:r>
          </w:p>
        </w:tc>
        <w:tc>
          <w:tcPr>
            <w:tcW w:w="6912" w:type="dxa"/>
            <w:tcBorders/>
          </w:tcPr>
          <w:p>
            <w:pPr>
              <w:pStyle w:val="Normal"/>
              <w:jc w:val="both"/>
              <w:rPr>
                <w:sz w:val="22"/>
              </w:rPr>
            </w:pPr>
            <w:r>
              <w:rPr>
                <w:sz w:val="22"/>
              </w:rPr>
              <w:t>ENA</w:t>
            </w:r>
          </w:p>
        </w:tc>
      </w:tr>
      <w:tr>
        <w:trPr/>
        <w:tc>
          <w:tcPr>
            <w:tcW w:w="3528" w:type="dxa"/>
            <w:tcBorders/>
          </w:tcPr>
          <w:p>
            <w:pPr>
              <w:pStyle w:val="Normal"/>
              <w:snapToGrid w:val="false"/>
              <w:rPr>
                <w:b/>
                <w:sz w:val="22"/>
              </w:rPr>
            </w:pPr>
            <w:r>
              <w:rPr>
                <w:b/>
                <w:sz w:val="22"/>
              </w:rPr>
            </w:r>
          </w:p>
        </w:tc>
        <w:tc>
          <w:tcPr>
            <w:tcW w:w="6912" w:type="dxa"/>
            <w:tcBorders/>
          </w:tcPr>
          <w:p>
            <w:pPr>
              <w:pStyle w:val="Normal"/>
              <w:snapToGrid w:val="false"/>
              <w:jc w:val="both"/>
              <w:rPr>
                <w:b/>
                <w:sz w:val="22"/>
              </w:rPr>
            </w:pPr>
            <w:r>
              <w:rPr>
                <w:b/>
                <w:sz w:val="22"/>
              </w:rPr>
            </w:r>
          </w:p>
        </w:tc>
      </w:tr>
      <w:tr>
        <w:trPr/>
        <w:tc>
          <w:tcPr>
            <w:tcW w:w="3528" w:type="dxa"/>
            <w:tcBorders/>
          </w:tcPr>
          <w:p>
            <w:pPr>
              <w:pStyle w:val="Normal"/>
              <w:rPr/>
            </w:pPr>
            <w:r>
              <w:rPr>
                <w:b/>
                <w:sz w:val="22"/>
              </w:rPr>
              <w:t xml:space="preserve">         </w:t>
            </w:r>
            <w:r>
              <w:rPr>
                <w:sz w:val="22"/>
              </w:rPr>
              <w:t>Floating Price:</w:t>
            </w:r>
          </w:p>
        </w:tc>
        <w:tc>
          <w:tcPr>
            <w:tcW w:w="6912"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average of the hourly day-ahead prices as published by the New York Independent System Operator (the “NYISO”) on the last day of the month that includes the applicable Determination Period on the NYISO’s official web site currently located at http://www.mis.nyiso.com/public/index.html, or any successor thereto, under the headings “Day Ahead Market LBMP - Zonal; Zonal Prices; N.Y.C. (61761) (Zone J)” for electricity during “On-Peak Hours” for the applicable Determination Period.</w:t>
              <w:t>“On-Peak Hours” means the hours commencing HE 0800 through HE 2300 Eastern Prevailing Time, Monday through Friday (excluding holidays of the North American Electric Reliability Council)</w:t>
            </w:r>
            <w:r>
              <w:rPr>
                <w:sz w:val="22"/>
              </w:rPr>
              <w:fldChar w:fldCharType="end"/>
            </w:r>
          </w:p>
        </w:tc>
      </w:tr>
      <w:tr>
        <w:trPr/>
        <w:tc>
          <w:tcPr>
            <w:tcW w:w="3528" w:type="dxa"/>
            <w:tcBorders/>
          </w:tcPr>
          <w:p>
            <w:pPr>
              <w:pStyle w:val="Normal"/>
              <w:snapToGrid w:val="false"/>
              <w:rPr>
                <w:sz w:val="22"/>
              </w:rPr>
            </w:pPr>
            <w:r>
              <w:rPr>
                <w:sz w:val="22"/>
              </w:rPr>
            </w:r>
          </w:p>
        </w:tc>
        <w:tc>
          <w:tcPr>
            <w:tcW w:w="6912" w:type="dxa"/>
            <w:tcBorders/>
          </w:tcPr>
          <w:p>
            <w:pPr>
              <w:pStyle w:val="Normal"/>
              <w:snapToGrid w:val="false"/>
              <w:jc w:val="both"/>
              <w:rPr>
                <w:sz w:val="22"/>
              </w:rPr>
            </w:pPr>
            <w:r>
              <w:rPr>
                <w:sz w:val="22"/>
              </w:rPr>
            </w:r>
          </w:p>
        </w:tc>
      </w:tr>
      <w:tr>
        <w:trPr/>
        <w:tc>
          <w:tcPr>
            <w:tcW w:w="3528" w:type="dxa"/>
            <w:tcBorders/>
          </w:tcPr>
          <w:p>
            <w:pPr>
              <w:pStyle w:val="Normal"/>
              <w:rPr>
                <w:sz w:val="22"/>
              </w:rPr>
            </w:pPr>
            <w:r>
              <w:rPr>
                <w:b/>
                <w:sz w:val="22"/>
              </w:rPr>
              <w:t>Contractual Currency:</w:t>
            </w:r>
          </w:p>
        </w:tc>
        <w:tc>
          <w:tcPr>
            <w:tcW w:w="6912" w:type="dxa"/>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tc>
      </w:tr>
    </w:tbl>
    <w:p>
      <w:pPr>
        <w:pStyle w:val="Normal"/>
        <w:rPr>
          <w:b/>
          <w:sz w:val="22"/>
        </w:rPr>
      </w:pPr>
      <w:r>
        <w:rPr>
          <w:b/>
          <w:sz w:val="22"/>
        </w:rPr>
      </w:r>
    </w:p>
    <w:p>
      <w:pPr>
        <w:pStyle w:val="Normal"/>
        <w:jc w:val="both"/>
        <w:rPr/>
      </w:pPr>
      <w:r>
        <w:rPr>
          <w:b/>
          <w:sz w:val="22"/>
        </w:rPr>
        <w:t>Governing Law:</w:t>
      </w:r>
      <w:r>
        <w:rPr>
          <w:sz w:val="22"/>
        </w:rPr>
        <w:tab/>
        <w:tab/>
        <w:t xml:space="preserve">            New York</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3528"/>
        <w:gridCol w:w="6912"/>
      </w:tblGrid>
      <w:tr>
        <w:trPr/>
        <w:tc>
          <w:tcPr>
            <w:tcW w:w="3528" w:type="dxa"/>
            <w:tcBorders/>
          </w:tcPr>
          <w:p>
            <w:pPr>
              <w:pStyle w:val="Normal"/>
              <w:rPr>
                <w:b/>
                <w:sz w:val="22"/>
              </w:rPr>
            </w:pPr>
            <w:r>
              <w:rPr>
                <w:b/>
                <w:sz w:val="22"/>
              </w:rPr>
              <w:t>General Terms and Conditions</w:t>
            </w:r>
          </w:p>
          <w:p>
            <w:pPr>
              <w:pStyle w:val="Normal"/>
              <w:rPr>
                <w:sz w:val="22"/>
              </w:rPr>
            </w:pPr>
            <w:r>
              <w:rPr>
                <w:b/>
                <w:sz w:val="22"/>
              </w:rPr>
              <w:t>of Confirmations:</w:t>
            </w:r>
          </w:p>
        </w:tc>
        <w:tc>
          <w:tcPr>
            <w:tcW w:w="6912" w:type="dxa"/>
            <w:tcBorders/>
          </w:tcPr>
          <w:p>
            <w:pPr>
              <w:pStyle w:val="Normal"/>
              <w:snapToGrid w:val="false"/>
              <w:jc w:val="both"/>
              <w:rPr>
                <w:sz w:val="22"/>
              </w:rPr>
            </w:pPr>
            <w:r>
              <w:rPr>
                <w:sz w:val="22"/>
              </w:rPr>
            </w:r>
          </w:p>
          <w:p>
            <w:pPr>
              <w:pStyle w:val="Normal"/>
              <w:jc w:val="both"/>
              <w:rPr/>
            </w:pPr>
            <w:r>
              <w:rPr>
                <w:sz w:val="22"/>
              </w:rPr>
              <w:t>The general terms and conditions, Credit and other provisions of confirmation are contained in Annex A, Annex B, and Annex B1</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pPr>
      <w:r>
        <w:rPr/>
        <w:tab/>
        <w:tab/>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6012" w:type="dxa"/>
            <w:tcBorders/>
          </w:tcPr>
          <w:p>
            <w:pPr>
              <w:pStyle w:val="Normal"/>
              <w:rPr>
                <w:sz w:val="22"/>
              </w:rPr>
            </w:pPr>
            <w:r>
              <w:rPr>
                <w:sz w:val="22"/>
              </w:rPr>
              <w:t>Consolidated Edison Company Of New York, Inc.</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M.D. Davis, Jr.</w:t>
            </w:r>
            <w:r>
              <w:rPr>
                <w:sz w:val="22"/>
              </w:rPr>
              <w:fldChar w:fldCharType="end"/>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r>
              <w:rPr>
                <w:sz w:val="22"/>
              </w:rPr>
              <w:fldChar w:fldCharType="begin"/>
            </w:r>
            <w:r>
              <w:rPr>
                <w:sz w:val="22"/>
              </w:rPr>
              <w:instrText xml:space="preserve"> MERGEFIELD DateToday </w:instrText>
            </w:r>
            <w:r>
              <w:rPr>
                <w:sz w:val="22"/>
              </w:rPr>
              <w:fldChar w:fldCharType="separate"/>
            </w:r>
            <w:r>
              <w:rPr>
                <w:sz w:val="22"/>
              </w:rPr>
              <w:t>January 26, 2001</w:t>
            </w:r>
            <w:r>
              <w:rPr>
                <w:sz w:val="22"/>
              </w:rPr>
              <w:fldChar w:fldCharType="end"/>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77002-7327</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Attention: Manager, Documentation Dept</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Citibank, New York</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ABA No. 021 000 089</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For: Consolidated Edison, Inc.</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Account No. 4074 7707</w:t>
            </w:r>
          </w:p>
        </w:tc>
      </w:tr>
      <w:tr>
        <w:trPr/>
        <w:tc>
          <w:tcPr>
            <w:tcW w:w="5220" w:type="dxa"/>
            <w:tcBorders/>
          </w:tcPr>
          <w:p>
            <w:pPr>
              <w:pStyle w:val="Normal"/>
              <w:snapToGrid w:val="false"/>
              <w:rPr>
                <w:sz w:val="22"/>
              </w:rPr>
            </w:pPr>
            <w:r>
              <w:rPr>
                <w:sz w:val="22"/>
              </w:rPr>
            </w:r>
          </w:p>
        </w:tc>
        <w:tc>
          <w:tcPr>
            <w:tcW w:w="5220" w:type="dxa"/>
            <w:tcBorders/>
          </w:tcPr>
          <w:p>
            <w:pPr>
              <w:pStyle w:val="Normal"/>
              <w:rPr>
                <w:sz w:val="22"/>
              </w:rPr>
            </w:pPr>
            <w:r>
              <w:rPr>
                <w:sz w:val="22"/>
              </w:rPr>
              <w:t>Ref: Trade #</w:t>
            </w:r>
          </w:p>
        </w:tc>
      </w:tr>
      <w:tr>
        <w:trPr/>
        <w:tc>
          <w:tcPr>
            <w:tcW w:w="5220" w:type="dxa"/>
            <w:tcBorders/>
          </w:tcPr>
          <w:p>
            <w:pPr>
              <w:pStyle w:val="Normal"/>
              <w:rPr>
                <w:sz w:val="22"/>
              </w:rPr>
            </w:pPr>
            <w:r>
              <w:rPr>
                <w:sz w:val="22"/>
              </w:rPr>
              <w:t>Fax: ________________________________</w:t>
            </w:r>
          </w:p>
        </w:tc>
        <w:tc>
          <w:tcPr>
            <w:tcW w:w="5220" w:type="dxa"/>
            <w:tcBorders/>
          </w:tcPr>
          <w:p>
            <w:pPr>
              <w:pStyle w:val="Normal"/>
              <w:snapToGrid w:val="false"/>
              <w:rPr>
                <w:sz w:val="22"/>
              </w:rPr>
            </w:pPr>
            <w:r>
              <w:rPr>
                <w:sz w:val="22"/>
              </w:rPr>
            </w:r>
          </w:p>
        </w:tc>
      </w:tr>
      <w:tr>
        <w:trPr/>
        <w:tc>
          <w:tcPr>
            <w:tcW w:w="5220" w:type="dxa"/>
            <w:tcBorders/>
          </w:tcPr>
          <w:p>
            <w:pPr>
              <w:pStyle w:val="Normal"/>
              <w:rPr>
                <w:sz w:val="22"/>
              </w:rPr>
            </w:pPr>
            <w:r>
              <w:rPr>
                <w:sz w:val="22"/>
              </w:rPr>
              <w:t>Phone: ______________________________</w:t>
            </w:r>
          </w:p>
        </w:tc>
        <w:tc>
          <w:tcPr>
            <w:tcW w:w="5220" w:type="dxa"/>
            <w:tcBorders/>
          </w:tcPr>
          <w:p>
            <w:pPr>
              <w:pStyle w:val="Normal"/>
              <w:snapToGrid w:val="false"/>
              <w:rPr>
                <w:sz w:val="22"/>
              </w:rPr>
            </w:pPr>
            <w:r>
              <w:rPr>
                <w:sz w:val="22"/>
              </w:rPr>
            </w:r>
          </w:p>
        </w:tc>
      </w:tr>
    </w:tbl>
    <w:p>
      <w:pPr>
        <w:pStyle w:val="Normal"/>
        <w:rPr>
          <w:sz w:val="22"/>
        </w:rPr>
      </w:pPr>
      <w:r>
        <w:rPr>
          <w:sz w:val="22"/>
        </w:rPr>
      </w:r>
    </w:p>
    <w:p>
      <w:pPr>
        <w:pStyle w:val="Normal"/>
        <w:rPr>
          <w:b/>
          <w:sz w:val="22"/>
        </w:rPr>
      </w:pPr>
      <w:r>
        <w:rPr>
          <w:b/>
          <w:sz w:val="22"/>
        </w:rPr>
        <w:t xml:space="preserve">COUNTERPARTY: PLEASE PROVIDE ABOVE REQUESTED INFORMATION IF NOT PROVIDED </w:t>
      </w:r>
    </w:p>
    <w:p>
      <w:pPr>
        <w:pStyle w:val="Normal"/>
        <w:rPr>
          <w:b/>
          <w:sz w:val="22"/>
        </w:rPr>
      </w:pPr>
      <w:r>
        <w:rPr>
          <w:b/>
          <w:sz w:val="22"/>
        </w:rPr>
        <w:t>PREVIOUSLY OR IF CHANGES HAVE OCCURRED</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Heading4"/>
        <w:ind w:hanging="0" w:start="0"/>
        <w:rPr>
          <w:b w:val="false"/>
          <w:sz w:val="22"/>
        </w:rPr>
      </w:pPr>
      <w:r>
        <w:rPr>
          <w:b w:val="false"/>
          <w:sz w:val="22"/>
        </w:rPr>
      </w:r>
    </w:p>
    <w:p>
      <w:pPr>
        <w:pStyle w:val="Heading4"/>
        <w:ind w:hanging="0" w:start="0"/>
        <w:rPr/>
      </w:pPr>
      <w:r>
        <w:rPr/>
        <w:t>ANNEX A</w:t>
      </w:r>
    </w:p>
    <w:p>
      <w:pPr>
        <w:pStyle w:val="Normal"/>
        <w:rPr/>
      </w:pPr>
      <w:r>
        <w:rPr/>
      </w:r>
    </w:p>
    <w:p>
      <w:pPr>
        <w:pStyle w:val="Heading5"/>
        <w:ind w:hanging="0" w:start="0"/>
        <w:rPr/>
      </w:pPr>
      <w:r>
        <w:rPr/>
        <w:t>GENERAL TERMS AND CONDITIONS</w:t>
      </w:r>
    </w:p>
    <w:p>
      <w:pPr>
        <w:pStyle w:val="Normal"/>
        <w:jc w:val="center"/>
        <w:rPr>
          <w:b/>
          <w:sz w:val="20"/>
          <w:u w:val="single"/>
        </w:rPr>
      </w:pPr>
      <w:r>
        <w:rPr>
          <w:b/>
          <w:sz w:val="20"/>
          <w:u w:val="single"/>
        </w:rPr>
      </w:r>
    </w:p>
    <w:p>
      <w:pPr>
        <w:pStyle w:val="Normal"/>
        <w:rPr>
          <w:b/>
          <w:sz w:val="22"/>
          <w:u w:val="single"/>
        </w:rPr>
      </w:pPr>
      <w:r>
        <w:rPr>
          <w:b/>
          <w:sz w:val="22"/>
          <w:u w:val="single"/>
        </w:rPr>
      </w:r>
    </w:p>
    <w:p>
      <w:pPr>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rPr>
          <w:sz w:val="22"/>
        </w:rPr>
      </w:pPr>
      <w:r>
        <w:rPr>
          <w:sz w:val="22"/>
        </w:rPr>
      </w:r>
    </w:p>
    <w:sectPr>
      <w:type w:val="continuous"/>
      <w:pgSz w:w="12240" w:h="15840"/>
      <w:pgMar w:left="1152" w:right="864" w:gutter="0" w:header="720" w:top="864" w:footer="720" w:bottom="864"/>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u w:val="single"/>
      </w:rPr>
    </w:pPr>
    <w:r>
      <w:rPr>
        <w:sz w:val="20"/>
        <w:u w:val="single"/>
      </w:rPr>
      <w:t>ENA/U.S. Counterparty</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rPr>
        <w:sz w:val="20"/>
        <w:u w:val="single"/>
      </w:rPr>
    </w:pPr>
    <w:r>
      <w:rPr>
        <w:sz w:val="20"/>
        <w:u w:val="single"/>
      </w:rPr>
      <w:t>Revision of 03/02/00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b/>
      </w:rPr>
      <w:t>DRAFT-For discussion purposes only</w:t>
    </w:r>
    <w:r>
      <w:rPr/>
      <w:tab/>
      <w:tab/>
    </w:r>
    <w:r>
      <w:rPr>
        <w:sz w:val="20"/>
      </w:rPr>
      <w:t xml:space="preserve">Deal No.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u w:val="single"/>
      <w:lang w:eastAsia="en-US"/>
    </w:rPr>
  </w:style>
  <w:style w:type="paragraph" w:styleId="Heading2">
    <w:name w:val="heading 2"/>
    <w:basedOn w:val="Normal"/>
    <w:next w:val="Normal"/>
    <w:qFormat/>
    <w:pPr>
      <w:keepNext w:val="true"/>
      <w:numPr>
        <w:ilvl w:val="1"/>
        <w:numId w:val="1"/>
      </w:numPr>
      <w:jc w:val="center"/>
      <w:outlineLvl w:val="1"/>
    </w:pPr>
    <w:rPr>
      <w:b/>
      <w:sz w:val="22"/>
      <w:lang w:eastAsia="en-U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paragraph" w:styleId="Heading5">
    <w:name w:val="heading 5"/>
    <w:basedOn w:val="Normal"/>
    <w:next w:val="Normal"/>
    <w:qFormat/>
    <w:pPr>
      <w:keepNext w:val="true"/>
      <w:numPr>
        <w:ilvl w:val="4"/>
        <w:numId w:val="1"/>
      </w:numPr>
      <w:jc w:val="center"/>
      <w:outlineLvl w:val="4"/>
    </w:pPr>
    <w:rPr>
      <w:b/>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2001-01-26T16:10:00Z</dcterms:created>
  <dc:creator>ECT</dc:creator>
  <dc:description/>
  <dc:language>en-CA</dc:language>
  <cp:lastModifiedBy>Melissa Murphy</cp:lastModifiedBy>
  <dcterms:modified xsi:type="dcterms:W3CDTF">2001-01-26T19:44:00Z</dcterms:modified>
  <cp:revision>7</cp:revision>
  <dc:subject/>
  <dc:title>502963.01</dc:title>
</cp:coreProperties>
</file>