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tbl>
      <w:tblPr>
        <w:tblW w:w="8856" w:type="dxa"/>
        <w:jc w:val="start"/>
        <w:tblInd w:w="0" w:type="dxa"/>
        <w:tblLayout w:type="fixed"/>
        <w:tblCellMar>
          <w:top w:w="0" w:type="dxa"/>
          <w:start w:w="108" w:type="dxa"/>
          <w:bottom w:w="0" w:type="dxa"/>
          <w:end w:w="108" w:type="dxa"/>
        </w:tblCellMar>
      </w:tblPr>
      <w:tblGrid>
        <w:gridCol w:w="2448"/>
        <w:gridCol w:w="450"/>
        <w:gridCol w:w="5958"/>
      </w:tblGrid>
      <w:tr>
        <w:trPr/>
        <w:tc>
          <w:tcPr>
            <w:tcW w:w="2448" w:type="dxa"/>
            <w:tcBorders/>
          </w:tcPr>
          <w:p>
            <w:pPr>
              <w:pStyle w:val="Normal"/>
              <w:jc w:val="both"/>
              <w:rPr>
                <w:rFonts w:ascii="Arial" w:hAnsi="Arial" w:cs="Arial"/>
                <w:i/>
                <w:i/>
                <w:sz w:val="22"/>
              </w:rPr>
            </w:pPr>
            <w:r>
              <w:rPr>
                <w:rFonts w:cs="Arial" w:ascii="Arial" w:hAnsi="Arial"/>
                <w:i/>
                <w:sz w:val="22"/>
              </w:rPr>
              <w:t>Conditions Precedent:</w:t>
            </w:r>
          </w:p>
        </w:tc>
        <w:tc>
          <w:tcPr>
            <w:tcW w:w="450" w:type="dxa"/>
            <w:tcBorders/>
          </w:tcPr>
          <w:p>
            <w:pPr>
              <w:pStyle w:val="Normal"/>
              <w:snapToGrid w:val="false"/>
              <w:jc w:val="both"/>
              <w:rPr>
                <w:rFonts w:ascii="Arial" w:hAnsi="Arial" w:cs="Arial"/>
                <w:i/>
                <w:i/>
                <w:sz w:val="22"/>
              </w:rPr>
            </w:pPr>
            <w:r>
              <w:rPr>
                <w:rFonts w:cs="Arial" w:ascii="Arial" w:hAnsi="Arial"/>
                <w:i/>
                <w:sz w:val="22"/>
              </w:rPr>
            </w:r>
          </w:p>
        </w:tc>
        <w:tc>
          <w:tcPr>
            <w:tcW w:w="5958" w:type="dxa"/>
            <w:tcBorders/>
          </w:tcPr>
          <w:p>
            <w:pPr>
              <w:pStyle w:val="Normal"/>
              <w:jc w:val="both"/>
              <w:rPr/>
            </w:pPr>
            <w:r>
              <w:rPr>
                <w:rFonts w:cs="Arial" w:ascii="Arial" w:hAnsi="Arial"/>
                <w:sz w:val="22"/>
              </w:rPr>
              <w:t xml:space="preserve">The transaction contemplated herein is subject to satisfaction (or waiver by Enron Canada) of the condition in favour of Enron Canada that the deregulation and opening of the power market in the Province of Alberta, as currently contemplated by the </w:t>
            </w:r>
            <w:r>
              <w:rPr>
                <w:rFonts w:cs="Arial" w:ascii="Arial" w:hAnsi="Arial"/>
                <w:i/>
                <w:sz w:val="22"/>
              </w:rPr>
              <w:t>Electric Utilities Act</w:t>
            </w:r>
            <w:r>
              <w:rPr>
                <w:rFonts w:cs="Arial" w:ascii="Arial" w:hAnsi="Arial"/>
                <w:sz w:val="22"/>
              </w:rPr>
              <w:t xml:space="preserve"> (Alberta) the (“EU Act”) and all regulations thereunder or applicable thereto, occurs on or prior to January 1, 2001 (the “De-Regulated Power Market”).</w:t>
            </w:r>
          </w:p>
        </w:tc>
      </w:tr>
      <w:tr>
        <w:trPr/>
        <w:tc>
          <w:tcPr>
            <w:tcW w:w="2448" w:type="dxa"/>
            <w:tcBorders/>
          </w:tcPr>
          <w:p>
            <w:pPr>
              <w:pStyle w:val="Normal"/>
              <w:snapToGrid w:val="false"/>
              <w:jc w:val="both"/>
              <w:rPr>
                <w:rFonts w:ascii="Arial" w:hAnsi="Arial" w:cs="Arial"/>
                <w:sz w:val="22"/>
              </w:rPr>
            </w:pPr>
            <w:r>
              <w:rPr>
                <w:rFonts w:cs="Arial" w:ascii="Arial" w:hAnsi="Arial"/>
                <w:sz w:val="22"/>
              </w:rPr>
            </w:r>
          </w:p>
        </w:tc>
        <w:tc>
          <w:tcPr>
            <w:tcW w:w="450" w:type="dxa"/>
            <w:tcBorders/>
          </w:tcPr>
          <w:p>
            <w:pPr>
              <w:pStyle w:val="Normal"/>
              <w:snapToGrid w:val="false"/>
              <w:jc w:val="both"/>
              <w:rPr>
                <w:rFonts w:ascii="Arial" w:hAnsi="Arial" w:cs="Arial"/>
                <w:sz w:val="22"/>
              </w:rPr>
            </w:pPr>
            <w:r>
              <w:rPr>
                <w:rFonts w:cs="Arial" w:ascii="Arial" w:hAnsi="Arial"/>
                <w:sz w:val="22"/>
              </w:rPr>
            </w:r>
          </w:p>
        </w:tc>
        <w:tc>
          <w:tcPr>
            <w:tcW w:w="5958" w:type="dxa"/>
            <w:tcBorders/>
          </w:tcPr>
          <w:p>
            <w:pPr>
              <w:pStyle w:val="Normal"/>
              <w:snapToGrid w:val="false"/>
              <w:jc w:val="both"/>
              <w:rPr>
                <w:rFonts w:ascii="Arial" w:hAnsi="Arial" w:cs="Arial"/>
                <w:sz w:val="22"/>
              </w:rPr>
            </w:pPr>
            <w:r>
              <w:rPr>
                <w:rFonts w:cs="Arial" w:ascii="Arial" w:hAnsi="Arial"/>
                <w:sz w:val="22"/>
              </w:rPr>
            </w:r>
          </w:p>
        </w:tc>
      </w:tr>
      <w:tr>
        <w:trPr/>
        <w:tc>
          <w:tcPr>
            <w:tcW w:w="2448" w:type="dxa"/>
            <w:tcBorders/>
          </w:tcPr>
          <w:p>
            <w:pPr>
              <w:pStyle w:val="Heading1"/>
              <w:ind w:hanging="0" w:start="0"/>
              <w:rPr/>
            </w:pPr>
            <w:r>
              <w:rPr/>
              <w:t>Suspension of</w:t>
            </w:r>
          </w:p>
          <w:p>
            <w:pPr>
              <w:pStyle w:val="Normal"/>
              <w:jc w:val="both"/>
              <w:rPr>
                <w:rFonts w:ascii="Arial" w:hAnsi="Arial" w:cs="Arial"/>
                <w:i/>
                <w:i/>
                <w:sz w:val="22"/>
              </w:rPr>
            </w:pPr>
            <w:r>
              <w:rPr>
                <w:rFonts w:cs="Arial" w:ascii="Arial" w:hAnsi="Arial"/>
                <w:i/>
                <w:sz w:val="22"/>
              </w:rPr>
              <w:t>Performance:</w:t>
            </w:r>
          </w:p>
        </w:tc>
        <w:tc>
          <w:tcPr>
            <w:tcW w:w="450" w:type="dxa"/>
            <w:tcBorders/>
          </w:tcPr>
          <w:p>
            <w:pPr>
              <w:pStyle w:val="Normal"/>
              <w:snapToGrid w:val="false"/>
              <w:jc w:val="both"/>
              <w:rPr>
                <w:rFonts w:ascii="Arial" w:hAnsi="Arial" w:cs="Arial"/>
                <w:i/>
                <w:i/>
                <w:sz w:val="22"/>
              </w:rPr>
            </w:pPr>
            <w:r>
              <w:rPr>
                <w:rFonts w:cs="Arial" w:ascii="Arial" w:hAnsi="Arial"/>
                <w:i/>
                <w:sz w:val="22"/>
              </w:rPr>
            </w:r>
          </w:p>
        </w:tc>
        <w:tc>
          <w:tcPr>
            <w:tcW w:w="5958" w:type="dxa"/>
            <w:tcBorders/>
          </w:tcPr>
          <w:p>
            <w:pPr>
              <w:pStyle w:val="Normal"/>
              <w:jc w:val="both"/>
              <w:rPr>
                <w:rFonts w:ascii="Arial" w:hAnsi="Arial" w:cs="Arial"/>
                <w:sz w:val="22"/>
              </w:rPr>
            </w:pPr>
            <w:r>
              <w:rPr>
                <w:rFonts w:cs="Arial" w:ascii="Arial" w:hAnsi="Arial"/>
                <w:sz w:val="22"/>
              </w:rPr>
              <w:t>If, pursuant to any legislation, order, ruling, regulation or decision of a legislative body, administrative tribunal or other governmental or regulatory authority having jurisdiction over Enron Canada or Enron Canada Power Corp. (collectively, “Enron”) or the De-Regulated Power Market (each an “Authority”) (each such legislation, order, ruling, regulation or decision is referred to herein as an “Intervening Event”), Enron’s rights to dispatch or sell the electricity under the Sundance B power purchase arrangement acquired by Enron in September, 2000 are materially impaired by any such Intervening Event, the obligations of the parties hereunder shall be suspended during the period of such impairment, provided that:</w:t>
            </w:r>
          </w:p>
        </w:tc>
      </w:tr>
      <w:tr>
        <w:trPr/>
        <w:tc>
          <w:tcPr>
            <w:tcW w:w="2448" w:type="dxa"/>
            <w:tcBorders/>
          </w:tcPr>
          <w:p>
            <w:pPr>
              <w:pStyle w:val="Heading1"/>
              <w:snapToGrid w:val="false"/>
              <w:ind w:hanging="0" w:start="0"/>
              <w:rPr>
                <w:rFonts w:ascii="Arial" w:hAnsi="Arial" w:cs="Arial"/>
                <w:sz w:val="22"/>
              </w:rPr>
            </w:pPr>
            <w:r>
              <w:rPr>
                <w:rFonts w:cs="Arial"/>
                <w:sz w:val="22"/>
              </w:rPr>
            </w:r>
          </w:p>
        </w:tc>
        <w:tc>
          <w:tcPr>
            <w:tcW w:w="450" w:type="dxa"/>
            <w:tcBorders/>
          </w:tcPr>
          <w:p>
            <w:pPr>
              <w:pStyle w:val="Normal"/>
              <w:snapToGrid w:val="false"/>
              <w:jc w:val="both"/>
              <w:rPr>
                <w:rFonts w:ascii="Arial" w:hAnsi="Arial" w:cs="Arial"/>
                <w:sz w:val="22"/>
              </w:rPr>
            </w:pPr>
            <w:r>
              <w:rPr>
                <w:rFonts w:cs="Arial" w:ascii="Arial" w:hAnsi="Arial"/>
                <w:sz w:val="22"/>
              </w:rPr>
            </w:r>
          </w:p>
        </w:tc>
        <w:tc>
          <w:tcPr>
            <w:tcW w:w="5958" w:type="dxa"/>
            <w:tcBorders/>
          </w:tcPr>
          <w:p>
            <w:pPr>
              <w:pStyle w:val="Normal"/>
              <w:numPr>
                <w:ilvl w:val="0"/>
                <w:numId w:val="2"/>
              </w:numPr>
              <w:jc w:val="both"/>
              <w:rPr>
                <w:rFonts w:ascii="Arial" w:hAnsi="Arial" w:cs="Arial"/>
                <w:sz w:val="22"/>
              </w:rPr>
            </w:pPr>
            <w:r>
              <w:rPr>
                <w:rFonts w:cs="Arial" w:ascii="Arial" w:hAnsi="Arial"/>
                <w:sz w:val="22"/>
              </w:rPr>
              <w:t>nothing herein shall be construed as a release of either party from any obligation or liability which accrues prior to such suspension; and</w:t>
            </w:r>
          </w:p>
          <w:p>
            <w:pPr>
              <w:pStyle w:val="Normal"/>
              <w:numPr>
                <w:ilvl w:val="0"/>
                <w:numId w:val="2"/>
              </w:numPr>
              <w:jc w:val="both"/>
              <w:rPr>
                <w:rFonts w:ascii="Arial" w:hAnsi="Arial" w:cs="Arial"/>
                <w:sz w:val="22"/>
              </w:rPr>
            </w:pPr>
            <w:r>
              <w:rPr>
                <w:rFonts w:cs="Arial" w:ascii="Arial" w:hAnsi="Arial"/>
                <w:sz w:val="22"/>
              </w:rPr>
              <w:t>the term of this transaction shall not be extended by any period by which the parties are excused from performance by operation of an Intervening Event.</w:t>
            </w:r>
          </w:p>
        </w:tc>
      </w:tr>
      <w:tr>
        <w:trPr/>
        <w:tc>
          <w:tcPr>
            <w:tcW w:w="2448" w:type="dxa"/>
            <w:tcBorders/>
          </w:tcPr>
          <w:p>
            <w:pPr>
              <w:pStyle w:val="Heading1"/>
              <w:snapToGrid w:val="false"/>
              <w:ind w:hanging="0" w:start="0"/>
              <w:rPr>
                <w:rFonts w:ascii="Arial" w:hAnsi="Arial" w:cs="Arial"/>
                <w:sz w:val="22"/>
              </w:rPr>
            </w:pPr>
            <w:r>
              <w:rPr>
                <w:rFonts w:cs="Arial"/>
                <w:sz w:val="22"/>
              </w:rPr>
            </w:r>
          </w:p>
        </w:tc>
        <w:tc>
          <w:tcPr>
            <w:tcW w:w="450" w:type="dxa"/>
            <w:tcBorders/>
          </w:tcPr>
          <w:p>
            <w:pPr>
              <w:pStyle w:val="Normal"/>
              <w:snapToGrid w:val="false"/>
              <w:jc w:val="both"/>
              <w:rPr>
                <w:rFonts w:ascii="Arial" w:hAnsi="Arial" w:cs="Arial"/>
                <w:sz w:val="22"/>
              </w:rPr>
            </w:pPr>
            <w:r>
              <w:rPr>
                <w:rFonts w:cs="Arial" w:ascii="Arial" w:hAnsi="Arial"/>
                <w:sz w:val="22"/>
              </w:rPr>
            </w:r>
          </w:p>
        </w:tc>
        <w:tc>
          <w:tcPr>
            <w:tcW w:w="5958" w:type="dxa"/>
            <w:tcBorders/>
          </w:tcPr>
          <w:p>
            <w:pPr>
              <w:pStyle w:val="Normal"/>
              <w:snapToGrid w:val="false"/>
              <w:jc w:val="both"/>
              <w:rPr>
                <w:rFonts w:ascii="Arial" w:hAnsi="Arial" w:cs="Arial"/>
                <w:sz w:val="22"/>
              </w:rPr>
            </w:pPr>
            <w:r>
              <w:rPr>
                <w:rFonts w:cs="Arial" w:ascii="Arial" w:hAnsi="Arial"/>
                <w:sz w:val="22"/>
              </w:rPr>
            </w:r>
          </w:p>
        </w:tc>
      </w:tr>
      <w:tr>
        <w:trPr/>
        <w:tc>
          <w:tcPr>
            <w:tcW w:w="2448" w:type="dxa"/>
            <w:tcBorders/>
          </w:tcPr>
          <w:p>
            <w:pPr>
              <w:pStyle w:val="Heading1"/>
              <w:ind w:hanging="0" w:start="0"/>
              <w:rPr>
                <w:i w:val="false"/>
                <w:i w:val="false"/>
              </w:rPr>
            </w:pPr>
            <w:r>
              <w:rPr/>
              <w:t>Market Disruption:</w:t>
            </w:r>
          </w:p>
        </w:tc>
        <w:tc>
          <w:tcPr>
            <w:tcW w:w="450" w:type="dxa"/>
            <w:tcBorders/>
          </w:tcPr>
          <w:p>
            <w:pPr>
              <w:pStyle w:val="Normal"/>
              <w:snapToGrid w:val="false"/>
              <w:jc w:val="both"/>
              <w:rPr>
                <w:rFonts w:ascii="Arial" w:hAnsi="Arial" w:cs="Arial"/>
                <w:i w:val="false"/>
                <w:i w:val="false"/>
                <w:sz w:val="22"/>
              </w:rPr>
            </w:pPr>
            <w:r>
              <w:rPr>
                <w:rFonts w:cs="Arial" w:ascii="Arial" w:hAnsi="Arial"/>
                <w:i w:val="false"/>
                <w:sz w:val="22"/>
              </w:rPr>
            </w:r>
          </w:p>
        </w:tc>
        <w:tc>
          <w:tcPr>
            <w:tcW w:w="5958" w:type="dxa"/>
            <w:tcBorders/>
          </w:tcPr>
          <w:p>
            <w:pPr>
              <w:pStyle w:val="Normal"/>
              <w:jc w:val="both"/>
              <w:rPr/>
            </w:pPr>
            <w:r>
              <w:rPr>
                <w:rFonts w:cs="Arial" w:ascii="Arial" w:hAnsi="Arial"/>
                <w:sz w:val="22"/>
              </w:rPr>
              <w:t xml:space="preserve">For the purposes of this transaction, no amendment to the EU Act, any regulations thereunder or applicable thereto or the Alberta Power Pool rules shall in any way constitute a </w:t>
            </w:r>
            <w:r>
              <w:rPr>
                <w:rFonts w:cs="Arial" w:ascii="Arial" w:hAnsi="Arial"/>
                <w:b/>
                <w:sz w:val="22"/>
              </w:rPr>
              <w:t>[Market Disruption Event]</w:t>
            </w:r>
            <w:r>
              <w:rPr>
                <w:rFonts w:cs="Arial" w:ascii="Arial" w:hAnsi="Arial"/>
                <w:sz w:val="22"/>
              </w:rPr>
              <w:t>.</w:t>
            </w:r>
          </w:p>
        </w:tc>
      </w:tr>
    </w:tbl>
    <w:p>
      <w:pPr>
        <w:pStyle w:val="Normal"/>
        <w:jc w:val="both"/>
        <w:rPr>
          <w:rFonts w:ascii="Arial" w:hAnsi="Arial" w:cs="Arial"/>
          <w:sz w:val="22"/>
        </w:rPr>
      </w:pPr>
      <w:r>
        <w:rPr>
          <w:rFonts w:cs="Arial" w:ascii="Arial" w:hAnsi="Arial"/>
          <w:sz w:val="22"/>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8"/>
      </w:rPr>
    </w:pPr>
    <w:r>
      <w:rPr>
        <w:rFonts w:cs="Arial" w:ascii="Arial" w:hAnsi="Arial"/>
        <w:sz w:val="18"/>
      </w:rPr>
      <w:t>I:\legal\power\enron canada power\conditions prec rider.doc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rFonts w:ascii="Arial" w:hAnsi="Arial" w:cs="Arial"/>
      <w:i/>
      <w:sz w:val="22"/>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2000-12-01T13:16:00Z</dcterms:created>
  <dc:creator>Linda Sietzema</dc:creator>
  <dc:description/>
  <dc:language>en-CA</dc:language>
  <cp:lastModifiedBy>gjohnst</cp:lastModifiedBy>
  <cp:lastPrinted>2000-12-01T09:02:00Z</cp:lastPrinted>
  <dcterms:modified xsi:type="dcterms:W3CDTF">2000-12-01T13:49:00Z</dcterms:modified>
  <cp:revision>4</cp:revision>
  <dc:subject/>
  <dc:title>Conditions Precedent:</dc:title>
</cp:coreProperties>
</file>