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360"/>
        <w:rPr/>
      </w:pPr>
      <w:r>
        <w:rPr/>
      </w:r>
    </w:p>
    <w:p>
      <w:pPr>
        <w:pStyle w:val="Normal"/>
        <w:suppressAutoHyphens w:val="true"/>
        <w:spacing w:lineRule="auto" w:line="360"/>
        <w:jc w:val="center"/>
        <w:rPr>
          <w:rFonts w:ascii="Century Schoolbook" w:hAnsi="Century Schoolbook" w:eastAsia="Century Schoolbook" w:cs="Century Schoolbook"/>
          <w:sz w:val="24"/>
          <w:szCs w:val="24"/>
        </w:rPr>
      </w:pPr>
      <w:r>
        <w:rPr>
          <w:rFonts w:eastAsia="Century Schoolbook" w:cs="Century Schoolbook" w:ascii="Century Schoolbook" w:hAnsi="Century Schoolbook"/>
          <w:b/>
          <w:bCs/>
          <w:sz w:val="24"/>
          <w:szCs w:val="24"/>
          <w:u w:val="single"/>
        </w:rPr>
        <w:t>NON-DISCLOSURE AGREEMENT</w:t>
      </w:r>
    </w:p>
    <w:p>
      <w:pPr>
        <w:pStyle w:val="Normal"/>
        <w:suppressAutoHyphens w:val="true"/>
        <w:spacing w:lineRule="auto" w:line="360"/>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This Non-Disclosure Agreement (hereinafter the "Agreement") is entered into as of __________________ by and between Public Service Electric and Gas Company (hereinafter "PSE&amp;G"), a New Jersey Corporation with offices located at 80 Park Plaza, Newark, New Jersey 07101 and Enron North America  (hereinafter "ENA"), a ___________ Corporation with offices located at ________________________________.  PSE&amp;G and ENA are hereinafter sometimes referred to as the Parties.</w:t>
      </w:r>
    </w:p>
    <w:p>
      <w:pPr>
        <w:pStyle w:val="Normal"/>
        <w:suppressAutoHyphens w:val="true"/>
        <w:spacing w:lineRule="auto" w:line="360"/>
        <w:jc w:val="center"/>
        <w:rPr>
          <w:rFonts w:ascii="Century Schoolbook" w:hAnsi="Century Schoolbook" w:eastAsia="Century Schoolbook" w:cs="Century Schoolbook"/>
          <w:b/>
          <w:bCs/>
          <w:sz w:val="24"/>
          <w:szCs w:val="24"/>
        </w:rPr>
      </w:pPr>
      <w:r>
        <w:rPr>
          <w:rFonts w:eastAsia="Century Schoolbook" w:cs="Century Schoolbook" w:ascii="Century Schoolbook" w:hAnsi="Century Schoolbook"/>
          <w:b/>
          <w:bCs/>
          <w:sz w:val="24"/>
          <w:szCs w:val="24"/>
        </w:rPr>
        <w:t>RECITALS</w:t>
      </w:r>
    </w:p>
    <w:p>
      <w:pPr>
        <w:pStyle w:val="BodyText"/>
        <w:rPr/>
      </w:pPr>
      <w:r>
        <w:rPr/>
        <w:tab/>
        <w:t xml:space="preserve">WHEREAS, the Parties are currently engaged in discussions with respect to a proposed transaction whereby PSE&amp;G would release or assign to ENA, a portion of PSE&amp;G’s portfolio of gas transportation and storage contracts for the purpose of enabling ENA to satisfy a portion of  the supply obligation under a proposed requirements contract between PSE&amp;G Power, LLC and PSE&amp;G for the provision of “Basic Gas Service” in PSE&amp;G’s service territory (hereinafter “the Transaction”); and  </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WHEREAS, the Parties, for their mutual benefit, desire to exchange and disclose to each other, certain confidential and proprietary information with respect to the Transaction (hereinafter "Confidential Information") for purposes of considering the commercial and technical merits of the Confidential Information;</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NOW THEREFORE,</w:t>
        <w:tab/>
        <w:t>in consideration of the premises and mutual covenants herein, the Parties agree as follows:</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w:t>
        <w:tab/>
        <w:t>In the course of the Transaction, the Parties may exchange certain Confidential Information. The exchange of such Confidential Information is subject to the terms and conditions stated herein.</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2.</w:t>
        <w:tab/>
        <w:t>The Parties will not disclose any Confidential Information covered by this Agreement to any third party except with the prior written approval of such disclosure by the other Party.   Any Party proposing to disclose Confidential Information to a third party pursuant to this provision will obtain a signed non-disclosure agreement from the third party and submit such agreement to the other Party for approval prior to disclosure.</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3.</w:t>
        <w:tab/>
        <w:t>The Confidential Information covered by this Agreement shall consist of documents, analyses, specifications, designs, plans, drawings, data, prototypes or other proprietary information relating to the Transaction.</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numPr>
          <w:ilvl w:val="0"/>
          <w:numId w:val="1"/>
        </w:numPr>
        <w:tabs>
          <w:tab w:val="clear" w:pos="720"/>
          <w:tab w:val="left" w:pos="0" w:leader="none"/>
          <w:tab w:val="left" w:pos="360" w:leader="none"/>
        </w:tabs>
        <w:suppressAutoHyphens w:val="true"/>
        <w:spacing w:lineRule="auto" w:line="360"/>
        <w:ind w:hanging="720" w:start="1800" w:end="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The Parties may disclose the Confidential Information to employees, consultants and attorneys, on a "need to know basis," provided that such employees consultants or attorneys have agreed to adhere to the terms of this Agreement.</w:t>
      </w:r>
    </w:p>
    <w:p>
      <w:pPr>
        <w:pStyle w:val="Normal"/>
        <w:suppressAutoHyphens w:val="true"/>
        <w:spacing w:lineRule="auto" w:line="360"/>
        <w:ind w:start="360" w:end="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5.</w:t>
        <w:tab/>
        <w:t>Neither Party may assign this Agreement.</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6.</w:t>
        <w:tab/>
        <w:t>This Agreement shall be binding on all successors of the Parties.</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7.</w:t>
        <w:tab/>
        <w:t>Nothing herein will apply to any Confidential Information which:</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(a)  at the time of receipt was already rightfully possessed by the receiving Party or was already in the public domain;</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(b)  after being provided, such information entered the public domain without any breach or fault of the receiving Party;</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(c)  is obtained from any individual, firm, or entity which had the unrestricted right to disclose it;</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(d)  is required to be disclosed under court or governmental order.  In such case the receiving Party shall provide reasonable advanced notice to the disclosing Party so as to permit said disclosing Party to avoid or minimize disclosure by protective order or agreement or otherwise;</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(e)  is developed independently by either Party or their affiliates as evidenced by the developing party's documentation made in the ordinary course of business;</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(f)  is not clearly identified as Confidential Information.</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numPr>
          <w:ilvl w:val="0"/>
          <w:numId w:val="2"/>
        </w:numPr>
        <w:tabs>
          <w:tab w:val="clear" w:pos="720"/>
          <w:tab w:val="left" w:pos="0" w:leader="none"/>
          <w:tab w:val="left" w:pos="360" w:leader="none"/>
        </w:tabs>
        <w:suppressAutoHyphens w:val="true"/>
        <w:spacing w:lineRule="auto" w:line="360"/>
        <w:ind w:hanging="720" w:start="1800" w:end="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Confidential Information shall be subject to the restriction hereof, if it is in writing or other tangible form, only if clearly marked as Confidential Information when disclosed to the receiving Party, or if not in tangible form, its proprietary nature must first be announced and it must be reduced to writing, with a copy of the writing being furnished to the receiving Party within seven (7) business days of the disclosure of  such intangible information.  Each Party shall endeavor to keep to a minimum the amount of Confidential Information that is furnished to the other Party.</w:t>
      </w:r>
    </w:p>
    <w:p>
      <w:pPr>
        <w:pStyle w:val="Normal"/>
        <w:suppressAutoHyphens w:val="true"/>
        <w:spacing w:lineRule="auto" w:line="360"/>
        <w:ind w:start="360" w:end="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9.</w:t>
        <w:tab/>
        <w:t>No license to a Party, under any trademark, patent, copyright, mask work protection right or any other intellectual property right, is either granted or implied by the conveying of Confidential Information to that Party.  None of the Confidential Information which may be disclosed or exchanged by the Parties shall constitute any representation, warranty, assurance, guarantee or inducement by either Party to the other of any kind, and in particular, with respect to the non-infringement of trademarks, patents, copyrights, mask work protection rights or any other intellectual property rights or other right of third parties or of either Party.</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10.</w:t>
        <w:tab/>
        <w:t>Neither this Agreement nor the disclosure or receipt of Confidential Information shall constitute or imply any promise or intention to undertake the Transaction or to make any purchase of products or services by either party or its affiliated companies or any commitment by either Party or its affiliated companies with respect to the present or future marketing of any product or service.</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11.</w:t>
        <w:tab/>
        <w:t>All written Confidential Information shall remain the property of the transmitting Party and shall be returned upon written request, upon the receiving Party's determination that it no longer has a need for the Confidential Information, or immediately upon termination of this Agreement, for any reason without the necessity of any request for the Confidential Information.  The receiving Party may, however, retain one copy of all written material returned to provide a confidential archive record of the disclosure.</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12.</w:t>
        <w:tab/>
        <w:t>The terms and conditions of this Agreement may not be changed, amended or waived unless in writing signed by both Parties.</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13.</w:t>
        <w:tab/>
        <w:t>This Agreement shall be governed by the laws of the State of New Jersey, and any disputes or lawsuits arising out of or related to this Agreement resulting in litigation shall be litigated in New Jersey.</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14.</w:t>
        <w:tab/>
        <w:t>This Agreement shall be in effect for a period of five (5) years from the date hereof during which period the Parties may exchange Confidential Information.  Any Confidential Information exchanged under this Agreement shall be subject to the terms and conditions of this Agreement for a period of five (5) years from the date of receipt after which period of time the Confidential Information shall no longer be deemed to be confidential.  The term of this Agreement may be extended by a written amendment between the Parties, or terminated earlier by either Party giving thirty (30) days written notice to the other Party of its intention to terminate this Agreement.</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15.</w:t>
        <w:tab/>
        <w:t xml:space="preserve">Should any invention, development process or discovery result from the joint effort of the Parties under this Agreement, the Parties agree to enter into good faith negotiations to develop a separate agreement for the use, title and commercialization of such discovery.  </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16.</w:t>
        <w:tab/>
        <w:t xml:space="preserve">Any one Party's liability under this Agreement shall be limited to the dollar amount of any direct damages caused by intentional and deliberate misconduct of that Party.  Under no circumstances shall the Parties be liable to each other for any special, incidental, indirect, or consequential loss or damages whatsoever (including lost profits or revenue) for anything arising out of the use, reliance upon, or disclosure of Confidential Information, whether claims for said loss or damages are premised on contract, tort (including negligence), or otherwise. </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17.</w:t>
        <w:tab/>
        <w:t>This Agreement constitutes the entire and only agreement between the Parties relating to the confidentiality of information, and there are no previous agreements between the Parties with respect thereto.</w:t>
      </w:r>
      <w:r>
        <w:br w:type="page"/>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ab/>
        <w:t>IN WITNESS WHEREOF, each Party hereto has caused this Agreement to be executed by its duly authorized representative as of the day and year first above written.</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FOR PSE&amp;G:</w:t>
        <w:tab/>
        <w:tab/>
        <w:tab/>
        <w:tab/>
        <w:t xml:space="preserve">FOR ENA: </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NAME:______________________</w:t>
        <w:tab/>
        <w:tab/>
        <w:t>NAME:_________________________</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t>TITLE:_____________________</w:t>
        <w:tab/>
        <w:tab/>
        <w:t>TITLE:_________________________</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pPr>
      <w:r>
        <w:rPr>
          <w:rFonts w:eastAsia="Century Schoolbook" w:cs="Century Schoolbook" w:ascii="Century Schoolbook" w:hAnsi="Century Schoolbook"/>
          <w:sz w:val="24"/>
          <w:szCs w:val="24"/>
        </w:rPr>
        <w:t>DATE:______________________</w:t>
        <w:tab/>
      </w:r>
      <w:r>
        <w:rPr/>
        <w:tab/>
      </w:r>
      <w:r>
        <w:rPr>
          <w:rFonts w:eastAsia="Century Schoolbook" w:cs="Century Schoolbook" w:ascii="Century Schoolbook" w:hAnsi="Century Schoolbook"/>
          <w:sz w:val="24"/>
          <w:szCs w:val="24"/>
        </w:rPr>
        <w:t>DATE:_________________________</w:t>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p>
      <w:pPr>
        <w:pStyle w:val="Normal"/>
        <w:suppressAutoHyphens w:val="true"/>
        <w:spacing w:lineRule="auto" w:line="360"/>
        <w:jc w:val="both"/>
        <w:rPr>
          <w:rFonts w:ascii="Century Schoolbook" w:hAnsi="Century Schoolbook" w:eastAsia="Century Schoolbook" w:cs="Century Schoolbook"/>
          <w:sz w:val="24"/>
          <w:szCs w:val="24"/>
        </w:rPr>
      </w:pPr>
      <w:r>
        <w:rPr>
          <w:rFonts w:eastAsia="Century Schoolbook" w:cs="Century Schoolbook" w:ascii="Century Schoolbook" w:hAnsi="Century Schoolbook"/>
          <w:sz w:val="24"/>
          <w:szCs w:val="24"/>
        </w:rPr>
      </w:r>
    </w:p>
    <w:sectPr>
      <w:footerReference w:type="default" r:id="rId2"/>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Century Schoolboo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left" w:pos="-720" w:leader="none"/>
      </w:tabs>
      <w:suppressAutoHyphens w:val="true"/>
      <w:rPr>
        <w:sz w:val="24"/>
        <w:szCs w:val="24"/>
      </w:rPr>
    </w:pPr>
    <w:r>
      <w:rPr>
        <w:rFonts w:eastAsia="Century Schoolbook" w:cs="Century Schoolbook" w:ascii="Century Schoolbook" w:hAnsi="Century Schoolbook"/>
        <w:sz w:val="14"/>
        <w:szCs w:val="14"/>
      </w:rPr>
      <w:t>[</w:t>
    </w:r>
    <w:r>
      <w:rPr>
        <w:rFonts w:eastAsia="Century Schoolbook" w:cs="Century Schoolbook" w:ascii="Century Schoolbook" w:hAnsi="Century Schoolbook"/>
        <w:sz w:val="16"/>
        <w:szCs w:val="16"/>
      </w:rPr>
      <w:t>s:\gesc\01agreemen\</w:t>
    </w:r>
    <w:r>
      <w:rPr>
        <w:rFonts w:eastAsia="Century Schoolbook" w:cs="Century Schoolbook" w:ascii="Century Schoolbook" w:hAnsi="Century Schoolbook"/>
        <w:sz w:val="16"/>
        <w:szCs w:val="16"/>
      </w:rPr>
      <w:fldChar w:fldCharType="begin"/>
    </w:r>
    <w:r>
      <w:rPr>
        <w:sz w:val="16"/>
        <w:szCs w:val="16"/>
        <w:rFonts w:eastAsia="Century Schoolbook" w:cs="Century Schoolbook" w:ascii="Century Schoolbook" w:hAnsi="Century Schoolbook"/>
      </w:rPr>
      <w:instrText xml:space="preserve"> FILENAME </w:instrText>
    </w:r>
    <w:r>
      <w:rPr>
        <w:sz w:val="16"/>
        <w:szCs w:val="16"/>
        <w:rFonts w:eastAsia="Century Schoolbook" w:cs="Century Schoolbook" w:ascii="Century Schoolbook" w:hAnsi="Century Schoolbook"/>
      </w:rPr>
      <w:fldChar w:fldCharType="separate"/>
    </w:r>
    <w:r>
      <w:rPr>
        <w:sz w:val="16"/>
        <w:szCs w:val="16"/>
        <w:rFonts w:eastAsia="Century Schoolbook" w:cs="Century Schoolbook" w:ascii="Century Schoolbook" w:hAnsi="Century Schoolbook"/>
      </w:rPr>
      <w:t>condientiality_ENA.doc</w:t>
    </w:r>
    <w:r>
      <w:rPr>
        <w:sz w:val="16"/>
        <w:szCs w:val="16"/>
        <w:rFonts w:eastAsia="Century Schoolbook" w:cs="Century Schoolbook" w:ascii="Century Schoolbook" w:hAnsi="Century Schoolbook"/>
      </w:rPr>
      <w:fldChar w:fldCharType="end"/>
    </w:r>
    <w:r>
      <w:rPr>
        <w:rFonts w:eastAsia="Century Schoolbook" w:cs="Century Schoolbook" w:ascii="Century Schoolbook" w:hAnsi="Century Schoolbook"/>
        <w:sz w:val="16"/>
        <w:szCs w:val="16"/>
      </w:rPr>
      <w:t>]</w:t>
    </w:r>
  </w:p>
  <w:p>
    <w:pPr>
      <w:pStyle w:val="Normal"/>
      <w:rPr>
        <w:sz w:val="24"/>
        <w:szCs w:val="24"/>
        <w:lang w:val="en-CA"/>
      </w:rPr>
    </w:pPr>
    <w:r>
      <w:rPr>
        <w:sz w:val="24"/>
        <w:szCs w:val="24"/>
        <w:lang w:val="en-CA"/>
      </w:rPr>
      <mc:AlternateContent>
        <mc:Choice Requires="wps">
          <w:drawing>
            <wp:anchor behindDoc="0" distT="0" distB="0" distL="0" distR="0" simplePos="0" locked="0" layoutInCell="0" allowOverlap="1" relativeHeight="7">
              <wp:simplePos x="0" y="0"/>
              <wp:positionH relativeFrom="page">
                <wp:posOffset>914400</wp:posOffset>
              </wp:positionH>
              <wp:positionV relativeFrom="paragraph">
                <wp:posOffset>152400</wp:posOffset>
              </wp:positionV>
              <wp:extent cx="5943600" cy="173355"/>
              <wp:effectExtent l="0" t="0" r="0" b="0"/>
              <wp:wrapNone/>
              <wp:docPr id="1" name=""/>
              <a:graphic xmlns:a="http://schemas.openxmlformats.org/drawingml/2006/main">
                <a:graphicData uri="http://schemas.microsoft.com/office/word/2010/wordprocessingShape">
                  <wps:wsp>
                    <wps:cNvSpPr txBox="1"/>
                    <wps:spPr>
                      <a:xfrm>
                        <a:off x="0" y="0"/>
                        <a:ext cx="5943600" cy="17352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0"/>
                              <w:szCs w:val="20"/>
                              <w:rFonts w:ascii="Courier New" w:hAnsi="Courier New" w:eastAsia="Courier New" w:cs="Courier New"/>
                              <w:color w:val="auto"/>
                              <w:lang w:val="en-US"/>
                            </w:rPr>
                            <w:t>4</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6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0"/>
                        <w:szCs w:val="20"/>
                        <w:rFonts w:ascii="Courier New" w:hAnsi="Courier New" w:eastAsia="Courier New" w:cs="Courier New"/>
                        <w:color w:val="auto"/>
                        <w:lang w:val="en-US"/>
                      </w:rPr>
                      <w:t>4</w:t>
                    </w:r>
                  </w:p>
                </w:txbxContent>
              </v:textbox>
              <v:fill o:detectmouseclick="t" on="false"/>
              <v:stroke color="#3465a4" joinstyle="round" endcap="flat"/>
              <w10:wrap type="none"/>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0"/>
      <w:szCs w:val="20"/>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auto" w:line="360"/>
      <w:jc w:val="both"/>
    </w:pPr>
    <w:rPr>
      <w:rFonts w:ascii="Century Schoolbook" w:hAnsi="Century Schoolbook" w:eastAsia="Century Schoolbook" w:cs="Century Schoolbook"/>
      <w:sz w:val="24"/>
      <w:szCs w:val="24"/>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rPr>
      <w:sz w:val="24"/>
      <w:szCs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1999-11-22T01:43:00Z</dcterms:created>
  <dc:creator>with limit on damages</dc:creator>
  <dc:description>TAMARA LINDE@LBU.LAW@NEWARK</dc:description>
  <dc:language>en-CA</dc:language>
  <cp:lastModifiedBy>PSEG</cp:lastModifiedBy>
  <cp:lastPrinted>1997-08-28T17:26:00Z</cp:lastPrinted>
  <dcterms:modified xsi:type="dcterms:W3CDTF">1999-11-23T19:43:00Z</dcterms:modified>
  <cp:revision>6</cp:revision>
  <dc:subject> two way agreement</dc:subject>
  <dc:title>Non-disclosure agreement                </dc:title>
</cp:coreProperties>
</file>