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40"/>
        </w:rPr>
      </w:pPr>
      <w:r>
        <w:rPr>
          <w:sz w:val="40"/>
        </w:rPr>
        <w:t>RISK 2000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13 &amp; 14 June 2000, Boston</w:t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b/>
          <w:i w:val="false"/>
          <w:i w:val="false"/>
          <w:sz w:val="18"/>
        </w:rPr>
      </w:pPr>
      <w:r>
        <w:rPr>
          <w:b/>
          <w:i w:val="false"/>
          <w:sz w:val="18"/>
        </w:rPr>
        <w:t>PLENARY SESSION</w:t>
      </w:r>
    </w:p>
    <w:p>
      <w:pPr>
        <w:pStyle w:val="Normal"/>
        <w:jc w:val="center"/>
        <w:rPr/>
      </w:pPr>
      <w:r>
        <w:rPr>
          <w:rFonts w:cs="Arial" w:ascii="Arial" w:hAnsi="Arial"/>
          <w:sz w:val="18"/>
        </w:rPr>
        <w:t>1. Keynote Presentation</w:t>
      </w:r>
    </w:p>
    <w:p>
      <w:pPr>
        <w:pStyle w:val="Heading4"/>
        <w:ind w:hanging="0" w:start="0"/>
        <w:rPr/>
      </w:pPr>
      <w:r>
        <w:rPr/>
        <w:t>Myron Scholes</w:t>
      </w:r>
    </w:p>
    <w:p>
      <w:pPr>
        <w:pStyle w:val="Normal"/>
        <w:rPr>
          <w:rStyle w:val="DefaultParagraphFont"/>
        </w:rPr>
      </w:pPr>
      <w:r>
        <w:rPr/>
      </w:r>
    </w:p>
    <w:tbl>
      <w:tblPr>
        <w:tblW w:w="136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02"/>
        <w:gridCol w:w="3402"/>
        <w:gridCol w:w="3377"/>
        <w:gridCol w:w="25"/>
        <w:gridCol w:w="3369"/>
        <w:gridCol w:w="33"/>
      </w:tblGrid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STREAM ONE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CREDIT RISK PORTFOLIO MEASUREMENT AND MANAGEMENT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STREAM TWO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ADVANCED RISK MANAGEMENT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STREAM THREE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DERIVATIVES MODELLING AND ANALYSIS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STREAM FOUR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</w:rPr>
              <w:t>RISK MEASUREMENT AND MANAGEMENT FOR INVESTMENT MANAGERS AND PLAN SPONSORS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1375" w:hRule="atLeast"/>
        </w:trPr>
        <w:tc>
          <w:tcPr>
            <w:tcW w:w="10206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2. Practitioner / Regulatory Debate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Mark Brickell, Managing director, JP Morgan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Michael Ong, Senior vice president, ABN Amro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8"/>
              </w:rPr>
              <w:t>Mike Brosnan, Office of the Comptroller of the Currency</w:t>
            </w:r>
          </w:p>
          <w:p>
            <w:pPr>
              <w:pStyle w:val="Normal"/>
              <w:ind w:end="0"/>
              <w:jc w:val="start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jc w:val="start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sz w:val="18"/>
              </w:rPr>
              <w:t>Keynote presentation</w:t>
            </w:r>
          </w:p>
        </w:tc>
      </w:tr>
      <w:tr>
        <w:trPr>
          <w:trHeight w:val="2575" w:hRule="atLeast"/>
        </w:trPr>
        <w:tc>
          <w:tcPr>
            <w:tcW w:w="10181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3. Panel: Risk management over the next 5 years – current trends and future developments</w:t>
            </w:r>
          </w:p>
          <w:p>
            <w:pPr>
              <w:pStyle w:val="Heading4"/>
              <w:ind w:hanging="0" w:start="0"/>
              <w:rPr/>
            </w:pPr>
            <w:r>
              <w:rPr/>
              <w:t>Emanuel Derman, Managing director, Goldman Sachs</w:t>
            </w:r>
          </w:p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rFonts w:cs="Arial"/>
                <w:b w:val="false"/>
                <w:sz w:val="18"/>
              </w:rPr>
              <w:t>Maureen Miskovic, Head or risk management, Lehman Brothers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Heading4"/>
              <w:ind w:hanging="0" w:start="0"/>
              <w:jc w:val="start"/>
              <w:rPr>
                <w:rFonts w:ascii="Arial" w:hAnsi="Arial"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Double session: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</w:rPr>
              <w:t>Plan sponsor panel: Plan sponsor perspective on risk management</w:t>
            </w:r>
          </w:p>
          <w:p>
            <w:pPr>
              <w:pStyle w:val="BodyText2"/>
              <w:rPr/>
            </w:pPr>
            <w:r>
              <w:rPr/>
              <w:t>Moderator: Charles Mckenzie, Oppenheimer Funds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Leo de Bever, Vice president reesearch and economics, OTPP</w:t>
            </w:r>
          </w:p>
          <w:p>
            <w:pPr>
              <w:pStyle w:val="Normal"/>
              <w:jc w:val="start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8"/>
              </w:rPr>
              <w:t>Chiang Kheng Hong, Government of Singapore Investment Corporation</w:t>
            </w:r>
          </w:p>
        </w:tc>
        <w:tc>
          <w:tcPr>
            <w:tcW w:w="3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star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STREAM ONE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CREDIT RISK PORTFOLIO MEASUREMENT AND MANAGEMENT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STREAM TWO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ADVANCED RISK MANAGEMENT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STREAM THREE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DERIVATIVES MODELLING AND ANALYSIS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</w:r>
          </w:p>
          <w:p>
            <w:pPr>
              <w:pStyle w:val="Heading2"/>
              <w:ind w:hanging="0" w:start="0"/>
              <w:rPr>
                <w:sz w:val="16"/>
              </w:rPr>
            </w:pPr>
            <w:r>
              <w:rPr>
                <w:sz w:val="16"/>
              </w:rPr>
              <w:t>VOLATILITY / CORRELATION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4. Developing and implementing an effective active credit risk portfolio management strategy</w:t>
            </w:r>
          </w:p>
          <w:p>
            <w:pPr>
              <w:pStyle w:val="Heading3"/>
              <w:ind w:hanging="0" w:start="0"/>
              <w:rPr/>
            </w:pPr>
            <w:r>
              <w:rPr/>
              <w:t>Dennis Oakley, Managing director, Chase Securities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16. Applying scenario analysis and stress testing to measure extreme events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Peter Zangari, Risk group, Goldman Sachs Asset Management Division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30. Pricing claims under GARCH-level dependent interest rate processes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Peter Ritchken, Professor of fianance, Weatherhead School of Management, Case Western Reserve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University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sz w:val="18"/>
              </w:rPr>
              <w:t>…</w:t>
            </w:r>
            <w:r>
              <w:rPr>
                <w:rFonts w:cs="Arial" w:ascii="Arial" w:hAnsi="Arial"/>
                <w:sz w:val="18"/>
              </w:rPr>
              <w:t>panel continued</w:t>
            </w:r>
          </w:p>
        </w:tc>
      </w:tr>
      <w:tr>
        <w:trPr>
          <w:trHeight w:val="1691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5. Developing an enterprise wide credit risk management framework</w:t>
            </w:r>
          </w:p>
          <w:p>
            <w:pPr>
              <w:pStyle w:val="Heading3"/>
              <w:ind w:hanging="0" w:start="0"/>
              <w:rPr/>
            </w:pPr>
            <w:r>
              <w:rPr/>
              <w:t>Jitendra Sharma, Partner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Arthur Andersen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17. Integrating stress testing and VAR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Jeremy Berkowitz,</w:t>
            </w:r>
          </w:p>
          <w:p>
            <w:pPr>
              <w:pStyle w:val="BodyText2"/>
              <w:rPr>
                <w:b/>
              </w:rPr>
            </w:pPr>
            <w:r>
              <w:rPr>
                <w:rFonts w:cs="Arial"/>
                <w:b/>
                <w:sz w:val="18"/>
              </w:rPr>
              <w:t>Federal Reserve Board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31. Jump diffusion model for option pricing with 3 properties: leptokurtic feature, volatility smile &amp; analytical tractability</w:t>
            </w:r>
          </w:p>
          <w:p>
            <w:pPr>
              <w:pStyle w:val="Heading3"/>
              <w:ind w:hanging="0" w:start="0"/>
              <w:rPr/>
            </w:pPr>
            <w:r>
              <w:rPr/>
              <w:t>Steve Kou</w:t>
            </w:r>
          </w:p>
          <w:p>
            <w:pPr>
              <w:pStyle w:val="Heading3"/>
              <w:ind w:hanging="0" w:start="0"/>
              <w:rPr/>
            </w:pPr>
            <w:r>
              <w:rPr/>
              <w:t>Assistant professor</w:t>
            </w:r>
          </w:p>
          <w:p>
            <w:pPr>
              <w:pStyle w:val="Heading3"/>
              <w:ind w:hanging="0" w:start="0"/>
              <w:rPr/>
            </w:pPr>
            <w:r>
              <w:rPr/>
              <w:t>Columbia University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Developing and implementing an effective risk management strategy and framework</w:t>
            </w:r>
          </w:p>
          <w:p>
            <w:pPr>
              <w:pStyle w:val="Normal"/>
              <w:jc w:val="star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Erwin Martens, Managing director, head of risk management, Putnam Investments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2192" w:hRule="atLeast"/>
        </w:trPr>
        <w:tc>
          <w:tcPr>
            <w:tcW w:w="34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6. Double session: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Practical in-depth analysis of alternative credit risk industry models: recent developments and applications to different portfolios</w:t>
            </w:r>
          </w:p>
          <w:p>
            <w:pPr>
              <w:pStyle w:val="Heading3"/>
              <w:ind w:hanging="0" w:start="0"/>
              <w:rPr/>
            </w:pPr>
            <w:r>
              <w:rPr/>
              <w:t>Jim Gertie</w:t>
            </w:r>
          </w:p>
          <w:p>
            <w:pPr>
              <w:pStyle w:val="BodyText2"/>
              <w:rPr/>
            </w:pPr>
            <w:r>
              <w:rPr/>
              <w:t>Director of global markets and analysis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Bankboston</w:t>
            </w:r>
          </w:p>
        </w:tc>
        <w:tc>
          <w:tcPr>
            <w:tcW w:w="3402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18. Modelling, managing and mitigating liquidity risk to optimise risk measurement and management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32. Rational shapes of the volatility surface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Jim Gatheral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Managing director, global equity-linked products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Merrill Lynch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/>
                <w:b w:val="false"/>
                <w:sz w:val="18"/>
              </w:rPr>
            </w:r>
          </w:p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  <w:t>Panel session:</w:t>
            </w:r>
          </w:p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  <w:t>Determining the role of VAR: investment manager and plan sponsor perspective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Moderator: Christopher Culp, Director, CP Risk Management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Jacob Rosengarten, Managing director, Goldman Sachs AM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ind w:end="0"/>
              <w:jc w:val="start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0"/>
              <w:jc w:val="start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BodyText3"/>
              <w:rPr/>
            </w:pPr>
            <w:r>
              <w:rPr/>
              <w:t>19. Effectively incorporating market based liquidity measurement into internal pricing and risk management strategies</w:t>
            </w:r>
          </w:p>
          <w:p>
            <w:pPr>
              <w:pStyle w:val="Heading3"/>
              <w:ind w:hanging="0" w:start="0"/>
              <w:rPr/>
            </w:pPr>
            <w:r>
              <w:rPr/>
              <w:t>Neil Chriss, President,</w:t>
            </w:r>
          </w:p>
          <w:p>
            <w:pPr>
              <w:pStyle w:val="Heading3"/>
              <w:ind w:hanging="0" w:start="0"/>
              <w:rPr/>
            </w:pPr>
            <w:r>
              <w:rPr/>
              <w:t>IOCC Brokerage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33. New metric for valuing and ranking equity options: strike-adjusted spread</w:t>
            </w:r>
          </w:p>
          <w:p>
            <w:pPr>
              <w:pStyle w:val="Heading3"/>
              <w:ind w:hanging="0" w:start="0"/>
              <w:rPr/>
            </w:pPr>
            <w:r>
              <w:rPr/>
              <w:t>Joe Zou</w:t>
            </w:r>
          </w:p>
          <w:p>
            <w:pPr>
              <w:pStyle w:val="Heading3"/>
              <w:ind w:hanging="0" w:start="0"/>
              <w:rPr/>
            </w:pPr>
            <w:r>
              <w:rPr/>
              <w:t>Vice president, quantitative strategies</w:t>
            </w:r>
          </w:p>
          <w:p>
            <w:pPr>
              <w:pStyle w:val="Heading3"/>
              <w:ind w:hanging="0" w:start="0"/>
              <w:rPr/>
            </w:pPr>
            <w:r>
              <w:rPr/>
              <w:t>Goldman Sachs</w:t>
            </w:r>
          </w:p>
        </w:tc>
        <w:tc>
          <w:tcPr>
            <w:tcW w:w="340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0"/>
              <w:jc w:val="start"/>
              <w:rPr/>
            </w:pPr>
            <w:r>
              <w:rPr/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0"/>
              <w:jc w:val="star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7. Integrating off-the-shelf and internal credit risk models to optimise credit risk measurement and management</w:t>
            </w:r>
          </w:p>
          <w:p>
            <w:pPr>
              <w:pStyle w:val="Heading3"/>
              <w:ind w:hanging="0" w:start="0"/>
              <w:rPr/>
            </w:pPr>
            <w:r>
              <w:rPr/>
              <w:t>Jim Vinci, PwC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20. Evaluating use of EVT by insurance companies: applications to financial risk management</w:t>
            </w:r>
          </w:p>
          <w:p>
            <w:pPr>
              <w:pStyle w:val="Heading3"/>
              <w:ind w:hanging="0" w:start="0"/>
              <w:rPr/>
            </w:pPr>
            <w:r>
              <w:rPr/>
              <w:t>Mark Ames, Vice president</w:t>
            </w:r>
          </w:p>
          <w:p>
            <w:pPr>
              <w:pStyle w:val="Heading3"/>
              <w:ind w:hanging="0" w:start="0"/>
              <w:rPr/>
            </w:pPr>
            <w:r>
              <w:rPr/>
              <w:t>Marsh Risk Finance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34. Pricing and hedging exotic options under hedge constraints</w:t>
            </w:r>
          </w:p>
          <w:p>
            <w:pPr>
              <w:pStyle w:val="Heading3"/>
              <w:ind w:hanging="0" w:start="0"/>
              <w:rPr/>
            </w:pPr>
            <w:r>
              <w:rPr/>
              <w:t>Steven E Schreve</w:t>
            </w:r>
          </w:p>
          <w:p>
            <w:pPr>
              <w:pStyle w:val="BodyText2"/>
              <w:rPr/>
            </w:pPr>
            <w:r>
              <w:rPr/>
              <w:t>Department of Mathematical Sciences</w:t>
            </w:r>
          </w:p>
          <w:p>
            <w:pPr>
              <w:pStyle w:val="Heading3"/>
              <w:ind w:hanging="0" w:start="0"/>
              <w:rPr/>
            </w:pPr>
            <w:r>
              <w:rPr/>
              <w:t>Carnegie Mellon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ind w:hanging="0" w:start="0"/>
              <w:rPr/>
            </w:pPr>
            <w:r>
              <w:rPr/>
            </w:r>
          </w:p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  <w:t>Practical application and implementation of VAR techniques: assessing assumptions for long horizon returns</w:t>
            </w:r>
          </w:p>
          <w:p>
            <w:pPr>
              <w:pStyle w:val="Heading3"/>
              <w:ind w:hanging="0" w:start="0"/>
              <w:rPr/>
            </w:pPr>
            <w:r>
              <w:rPr/>
              <w:t>Mark Staley,</w:t>
            </w:r>
          </w:p>
          <w:p>
            <w:pPr>
              <w:pStyle w:val="Heading3"/>
              <w:ind w:hanging="0" w:start="0"/>
              <w:rPr>
                <w:rStyle w:val="DefaultParagraphFont"/>
                <w:b/>
              </w:rPr>
            </w:pPr>
            <w:r>
              <w:rPr>
                <w:rFonts w:cs="Arial"/>
                <w:b w:val="false"/>
                <w:sz w:val="18"/>
              </w:rPr>
              <w:t>CIBC</w:t>
            </w:r>
            <w:r>
              <w:rPr/>
              <w:t xml:space="preserve"> Global Analytics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Style w:val="DefaultParagraphFont"/>
                <w:rFonts w:ascii="Arial" w:hAnsi="Arial" w:cs="Arial"/>
                <w:b/>
                <w:sz w:val="16"/>
              </w:rPr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RISK ADJUSTED RETURNS AND CAPITAL ALLOCATION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BodyText"/>
              <w:rPr>
                <w:b/>
                <w:sz w:val="16"/>
              </w:rPr>
            </w:pPr>
            <w:r>
              <w:rPr>
                <w:b/>
                <w:sz w:val="16"/>
              </w:rPr>
              <w:t>PRICING &amp; HEDGING EXOTIC DERIVATIVES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snapToGrid w:val="false"/>
              <w:ind w:hanging="0" w:start="0"/>
              <w:rPr>
                <w:rFonts w:ascii="Arial" w:hAnsi="Arial" w:cs="Arial"/>
                <w:b w:val="false"/>
                <w:sz w:val="16"/>
              </w:rPr>
            </w:pPr>
            <w:r>
              <w:rPr>
                <w:rFonts w:cs="Arial"/>
                <w:b w:val="false"/>
                <w:sz w:val="16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8. Economic capital as a tool for measuring and managing risks due to extreme events in credit portfolios</w:t>
            </w:r>
          </w:p>
          <w:p>
            <w:pPr>
              <w:pStyle w:val="Heading3"/>
              <w:ind w:hanging="0" w:start="0"/>
              <w:rPr/>
            </w:pPr>
            <w:r>
              <w:rPr/>
              <w:t>Mickey Bhatia, Vice president, credit portfolio risk management</w:t>
            </w:r>
          </w:p>
          <w:p>
            <w:pPr>
              <w:pStyle w:val="Heading3"/>
              <w:ind w:hanging="0" w:start="0"/>
              <w:rPr/>
            </w:pPr>
            <w:r>
              <w:rPr/>
              <w:t>JP Morgan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21. Developing and implementing a systematic approach to RAROC</w:t>
            </w:r>
          </w:p>
          <w:p>
            <w:pPr>
              <w:pStyle w:val="Heading3"/>
              <w:ind w:hanging="0" w:start="0"/>
              <w:rPr/>
            </w:pPr>
            <w:r>
              <w:rPr/>
              <w:t>Stuart Turnbull, Vice president global analytics</w:t>
            </w:r>
          </w:p>
          <w:p>
            <w:pPr>
              <w:pStyle w:val="Heading3"/>
              <w:ind w:hanging="0" w:start="0"/>
              <w:rPr/>
            </w:pPr>
            <w:r>
              <w:rPr/>
              <w:t>CIBC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</w:rPr>
              <w:t>35. Group theoretical methods for option pricing</w:t>
            </w:r>
          </w:p>
          <w:p>
            <w:pPr>
              <w:pStyle w:val="Heading3"/>
              <w:ind w:hanging="0" w:start="0"/>
              <w:rPr/>
            </w:pPr>
            <w:r>
              <w:rPr/>
              <w:t>Alexander Lipton, Vice president, FX product development</w:t>
            </w:r>
          </w:p>
          <w:p>
            <w:pPr>
              <w:pStyle w:val="Heading3"/>
              <w:ind w:hanging="0" w:start="0"/>
              <w:rPr/>
            </w:pPr>
            <w:r>
              <w:rPr/>
              <w:t>Deutsche Bank</w:t>
            </w:r>
          </w:p>
        </w:tc>
        <w:tc>
          <w:tcPr>
            <w:tcW w:w="340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Heading3"/>
              <w:numPr>
                <w:ilvl w:val="0"/>
                <w:numId w:val="0"/>
              </w:numPr>
              <w:ind w:hanging="0" w:start="0"/>
              <w:rPr>
                <w:b w:val="false"/>
              </w:rPr>
            </w:pPr>
            <w:r>
              <w:rPr>
                <w:b w:val="false"/>
              </w:rPr>
              <w:t>Applying Monte Carlo techniques to calculate VAR</w:t>
            </w:r>
          </w:p>
          <w:p>
            <w:pPr>
              <w:pStyle w:val="Heading3"/>
              <w:numPr>
                <w:ilvl w:val="0"/>
                <w:numId w:val="0"/>
              </w:numPr>
              <w:ind w:hanging="0" w:start="0"/>
              <w:rPr/>
            </w:pPr>
            <w:r>
              <w:rPr/>
              <w:t>Dr Merrell Hora,</w:t>
            </w:r>
          </w:p>
          <w:p>
            <w:pPr>
              <w:pStyle w:val="Heading3"/>
              <w:numPr>
                <w:ilvl w:val="0"/>
                <w:numId w:val="0"/>
              </w:numPr>
              <w:ind w:hanging="0" w:start="0"/>
              <w:rPr/>
            </w:pPr>
            <w:r>
              <w:rPr/>
              <w:t>Senior quantitative analyst</w:t>
            </w:r>
          </w:p>
          <w:p>
            <w:pPr>
              <w:pStyle w:val="Heading3"/>
              <w:numPr>
                <w:ilvl w:val="0"/>
                <w:numId w:val="0"/>
              </w:numPr>
              <w:ind w:hanging="0" w:start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Oppenheimer Funds</w:t>
            </w:r>
          </w:p>
          <w:p>
            <w:pPr>
              <w:pStyle w:val="Heading3"/>
              <w:numPr>
                <w:ilvl w:val="0"/>
                <w:numId w:val="0"/>
              </w:numPr>
              <w:ind w:hanging="0" w:start="0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/>
                <w:b w:val="false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9. Interactive panel discussion: effectively managing an active portfolio management strategy – issues after implementation</w:t>
            </w:r>
          </w:p>
          <w:p>
            <w:pPr>
              <w:pStyle w:val="Heading3"/>
              <w:ind w:hanging="0" w:start="0"/>
              <w:rPr/>
            </w:pPr>
            <w:r>
              <w:rPr/>
              <w:t>Gene Guill, Managing director, Deutsche Bank</w:t>
            </w:r>
          </w:p>
          <w:p>
            <w:pPr>
              <w:pStyle w:val="Heading3"/>
              <w:ind w:hanging="0" w:start="0"/>
              <w:rPr/>
            </w:pPr>
            <w:r>
              <w:rPr/>
              <w:t>Brian Ranson, Senior vice president, Bank of Montreal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Loretta Hennessey, Managing director, CIBC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22. Integrating risk management, risk capital and balance sheet management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Shaheen Dil, Senior vice president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PNC Bank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36. Jump processes and volatility smiles</w:t>
            </w:r>
          </w:p>
          <w:p>
            <w:pPr>
              <w:pStyle w:val="Heading3"/>
              <w:ind w:hanging="0" w:start="0"/>
              <w:rPr/>
            </w:pPr>
            <w:r>
              <w:rPr/>
              <w:t>Leif Anderson</w:t>
            </w:r>
          </w:p>
          <w:p>
            <w:pPr>
              <w:pStyle w:val="Heading3"/>
              <w:ind w:hanging="0" w:start="0"/>
              <w:rPr/>
            </w:pPr>
            <w:r>
              <w:rPr/>
              <w:t>Director</w:t>
            </w:r>
          </w:p>
          <w:p>
            <w:pPr>
              <w:pStyle w:val="Heading3"/>
              <w:ind w:hanging="0" w:start="0"/>
              <w:rPr/>
            </w:pPr>
            <w:r>
              <w:rPr/>
              <w:t>Gen Re Financial Products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Effectively collecting and applying data for risk measurement calculations – market price data vs portfolio data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10. Practical aspects of monitoring wrong-way exposure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Dr David Rowe, Senior vice president, risk management</w:t>
            </w:r>
          </w:p>
          <w:p>
            <w:pPr>
              <w:pStyle w:val="Heading3"/>
              <w:ind w:hanging="0" w:start="0"/>
              <w:rPr/>
            </w:pPr>
            <w:r>
              <w:rPr/>
              <w:t>Infinity, A Sunguard Company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23. Developing and implementing an effective capital management structure – allocating capital to business units</w:t>
            </w:r>
          </w:p>
          <w:p>
            <w:pPr>
              <w:pStyle w:val="Heading3"/>
              <w:ind w:hanging="0" w:start="0"/>
              <w:rPr/>
            </w:pPr>
            <w:r>
              <w:rPr/>
              <w:t>Charles Monet, Managing director</w:t>
            </w:r>
          </w:p>
          <w:p>
            <w:pPr>
              <w:pStyle w:val="Heading3"/>
              <w:ind w:hanging="0" w:start="0"/>
              <w:rPr/>
            </w:pPr>
            <w:r>
              <w:rPr/>
              <w:t>JP Morgan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37. </w:t>
            </w:r>
          </w:p>
          <w:p>
            <w:pPr>
              <w:pStyle w:val="Heading3"/>
              <w:ind w:hanging="0" w:start="0"/>
              <w:rPr/>
            </w:pPr>
            <w:r>
              <w:rPr/>
              <w:t>Vince kaminsky</w:t>
            </w:r>
          </w:p>
          <w:p>
            <w:pPr>
              <w:pStyle w:val="Heading3"/>
              <w:ind w:hanging="0" w:start="0"/>
              <w:rPr/>
            </w:pPr>
            <w:r>
              <w:rPr/>
              <w:t>Vice president, head of research</w:t>
            </w:r>
          </w:p>
          <w:p>
            <w:pPr>
              <w:pStyle w:val="Heading3"/>
              <w:ind w:hanging="0" w:start="0"/>
              <w:rPr/>
            </w:pPr>
            <w:r>
              <w:rPr/>
              <w:t>Enron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  <w:t>Practical aspects of risk budgeting for plan sponsors, foundations and investment managers</w:t>
            </w:r>
          </w:p>
          <w:p>
            <w:pPr>
              <w:pStyle w:val="Heading5"/>
              <w:ind w:hanging="0" w:start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Michelle McCarthy, Managing director, Deutsche Bank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CREDIT MITIGATION: CREDIT DERIVATIVES AND OTHER STRUCTURED PRODUCTS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CREDIT RISK MODELLING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11. Enhancing capital management of credit risk: applying credit derivatves, securitisation techniques and high yield debt products for regulatory arbitrage</w:t>
            </w:r>
          </w:p>
          <w:p>
            <w:pPr>
              <w:pStyle w:val="Heading3"/>
              <w:ind w:hanging="0" w:start="0"/>
              <w:rPr/>
            </w:pPr>
            <w:r>
              <w:rPr/>
              <w:t>Bill Gleason, Vice president</w:t>
            </w:r>
          </w:p>
          <w:p>
            <w:pPr>
              <w:pStyle w:val="Heading3"/>
              <w:ind w:hanging="0" w:start="0"/>
              <w:rPr/>
            </w:pPr>
            <w:r>
              <w:rPr/>
              <w:t>JP Morgan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BodyText3"/>
              <w:rPr/>
            </w:pPr>
            <w:r>
              <w:rPr/>
              <w:t>24. Latest techniques for integrating measurement of market risk and credit risk across business lines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38. The impact of netting and bilateral security agreements on potential credit exposure calculations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Ray Meadows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Vice president, credit risk analytics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Salomon Smith Barney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Measuring and managing credit risk for effective investment portfolio management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12. Latest applications of hybrid securitisations to manage and mitigate risk in the bank corporate lending portfolio</w:t>
            </w:r>
          </w:p>
          <w:p>
            <w:pPr>
              <w:pStyle w:val="Heading3"/>
              <w:ind w:hanging="0" w:start="0"/>
              <w:rPr/>
            </w:pPr>
            <w:r>
              <w:rPr/>
              <w:t>Daniel E Kaiser, Managing director, structured credit products</w:t>
            </w:r>
          </w:p>
          <w:p>
            <w:pPr>
              <w:pStyle w:val="Heading3"/>
              <w:ind w:hanging="0" w:start="0"/>
              <w:rPr/>
            </w:pPr>
            <w:r>
              <w:rPr/>
              <w:t>Banc of America Securities, LLC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25. Forensic finance</w:t>
            </w:r>
          </w:p>
          <w:p>
            <w:pPr>
              <w:pStyle w:val="Heading3"/>
              <w:ind w:hanging="0" w:start="0"/>
              <w:rPr/>
            </w:pPr>
            <w:r>
              <w:rPr/>
              <w:t>Stephen Ross</w:t>
            </w:r>
          </w:p>
          <w:p>
            <w:pPr>
              <w:pStyle w:val="Heading3"/>
              <w:ind w:hanging="0" w:start="0"/>
              <w:rPr/>
            </w:pPr>
            <w:r>
              <w:rPr/>
              <w:t>Yale School of Management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MIT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sz w:val="18"/>
              </w:rPr>
              <w:t>39. Dynamic hedging and a local implied volatility function</w:t>
            </w:r>
          </w:p>
          <w:p>
            <w:pPr>
              <w:pStyle w:val="Heading3"/>
              <w:ind w:hanging="0" w:start="0"/>
              <w:rPr/>
            </w:pPr>
            <w:r>
              <w:rPr/>
              <w:t>Tom Coleman</w:t>
            </w:r>
          </w:p>
          <w:p>
            <w:pPr>
              <w:pStyle w:val="Heading3"/>
              <w:ind w:hanging="0" w:start="0"/>
              <w:rPr/>
            </w:pPr>
            <w:r>
              <w:rPr/>
              <w:t>Cornell University and Financial Industry Solutions Centre (FISC)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Effective risk and asset allocation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OPERATIONAL RISK MEASUREMENT AND MANAGEMENT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13. Double session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Evaluating ratings and risk modelling of second generation synthetic CLOs and CBOs</w:t>
            </w:r>
          </w:p>
          <w:p>
            <w:pPr>
              <w:pStyle w:val="Heading3"/>
              <w:ind w:hanging="0" w:start="0"/>
              <w:rPr/>
            </w:pPr>
            <w:r>
              <w:rPr/>
              <w:t>Klaus Toft, Co-head credit derivatives strategies group</w:t>
            </w:r>
          </w:p>
          <w:p>
            <w:pPr>
              <w:pStyle w:val="Heading3"/>
              <w:ind w:hanging="0" w:start="0"/>
              <w:rPr/>
            </w:pPr>
            <w:r>
              <w:rPr/>
              <w:t>Goldman Sachs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Structuring and applying second generation CLOs and CBOs for effective economic and regulatory risk transfer</w:t>
            </w:r>
          </w:p>
          <w:p>
            <w:pPr>
              <w:pStyle w:val="Heading3"/>
              <w:ind w:hanging="0" w:start="0"/>
              <w:rPr/>
            </w:pPr>
            <w:r>
              <w:rPr/>
              <w:t>Bryan Mix, Vice president</w:t>
            </w:r>
          </w:p>
          <w:p>
            <w:pPr>
              <w:pStyle w:val="Heading3"/>
              <w:ind w:hanging="0" w:start="0"/>
              <w:rPr/>
            </w:pPr>
            <w:r>
              <w:rPr/>
              <w:t>Goldman Sachs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26. Implementing statistical / actuarial approaches to quantify operational risk</w:t>
            </w:r>
          </w:p>
          <w:p>
            <w:pPr>
              <w:pStyle w:val="Heading3"/>
              <w:ind w:hanging="0" w:start="0"/>
              <w:rPr/>
            </w:pPr>
            <w:r>
              <w:rPr/>
              <w:t>Michael Haubenstock, Partner</w:t>
            </w:r>
          </w:p>
          <w:p>
            <w:pPr>
              <w:pStyle w:val="Heading3"/>
              <w:ind w:hanging="0" w:start="0"/>
              <w:rPr/>
            </w:pPr>
            <w:r>
              <w:rPr/>
              <w:t>PriceWaterhouseCoopers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40. Advanced methods for pricing credit derivatives</w:t>
            </w:r>
          </w:p>
          <w:p>
            <w:pPr>
              <w:pStyle w:val="Heading3"/>
              <w:ind w:hanging="0" w:start="0"/>
              <w:rPr/>
            </w:pPr>
            <w:r>
              <w:rPr/>
              <w:t>Alla Gil, Vice president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Citigroup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  <w:t>Assessing the application of RAROC as a tool to estimate risk-adjusted returns</w:t>
            </w:r>
          </w:p>
        </w:tc>
      </w:tr>
      <w:tr>
        <w:trPr>
          <w:trHeight w:val="120" w:hRule="atLeast"/>
        </w:trPr>
        <w:tc>
          <w:tcPr>
            <w:tcW w:w="34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27. Incorporating operating risk capital into an integrated market and credit risk framework</w:t>
            </w:r>
          </w:p>
          <w:p>
            <w:pPr>
              <w:pStyle w:val="Heading3"/>
              <w:ind w:hanging="0" w:start="0"/>
              <w:rPr/>
            </w:pPr>
            <w:r>
              <w:rPr/>
              <w:t>Jay Newberry, Head of economic capital, Citibank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41. 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BodyText3"/>
              <w:rPr>
                <w:rFonts w:ascii="Arial" w:hAnsi="Arial" w:cs="Arial"/>
                <w:sz w:val="18"/>
              </w:rPr>
            </w:pPr>
            <w:r>
              <w:rPr>
                <w:rFonts w:cs="Arial"/>
                <w:sz w:val="18"/>
              </w:rPr>
              <w:t>Integrating performance analysis and risk management</w:t>
            </w:r>
          </w:p>
          <w:p>
            <w:pPr>
              <w:pStyle w:val="Heading3"/>
              <w:ind w:hanging="0" w:start="0"/>
              <w:rPr/>
            </w:pPr>
            <w:r>
              <w:rPr/>
              <w:t>Leslie Rahl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Capital Markets Risk Advisors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INTEREST RATE RISK MODELLING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14. Evaluating application of CBOs, CLOs and credit-linked notes within new asset classes</w:t>
            </w:r>
          </w:p>
          <w:p>
            <w:pPr>
              <w:pStyle w:val="Heading3"/>
              <w:ind w:hanging="0" w:start="0"/>
              <w:rPr/>
            </w:pPr>
            <w:r>
              <w:rPr/>
              <w:t>Hal Holappa, Managing director</w:t>
            </w:r>
          </w:p>
          <w:p>
            <w:pPr>
              <w:pStyle w:val="Heading3"/>
              <w:ind w:hanging="0" w:start="0"/>
              <w:rPr/>
            </w:pPr>
            <w:r>
              <w:rPr/>
              <w:t>Toronto Dominion Securities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28. Comparing the latest actuarial and alternative models to quantify operational risk</w:t>
            </w:r>
          </w:p>
          <w:p>
            <w:pPr>
              <w:pStyle w:val="BodyText2"/>
              <w:rPr/>
            </w:pPr>
            <w:r>
              <w:rPr/>
              <w:t>Kelsey Biggers, President &amp; Ceo, Measurisk.com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42. </w:t>
            </w:r>
          </w:p>
          <w:p>
            <w:pPr>
              <w:pStyle w:val="Heading3"/>
              <w:ind w:hanging="0" w:start="0"/>
              <w:rPr/>
            </w:pPr>
            <w:r>
              <w:rPr/>
              <w:t>Francis Longstaff</w:t>
            </w:r>
          </w:p>
          <w:p>
            <w:pPr>
              <w:pStyle w:val="Heading3"/>
              <w:ind w:hanging="0" w:start="0"/>
              <w:rPr/>
            </w:pPr>
            <w:r>
              <w:rPr/>
              <w:t>Andersen graduate school of management</w:t>
            </w:r>
          </w:p>
          <w:p>
            <w:pPr>
              <w:pStyle w:val="Heading3"/>
              <w:ind w:hanging="0" w:start="0"/>
              <w:rPr/>
            </w:pPr>
            <w:r>
              <w:rPr/>
              <w:t>UCLA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Heading3"/>
              <w:ind w:hanging="0" w:start="0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/>
                <w:b w:val="false"/>
                <w:sz w:val="18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rStyle w:val="DefaultParagraphFont"/>
                <w:b/>
              </w:rPr>
            </w:pPr>
            <w:r>
              <w:rPr>
                <w:b/>
              </w:rPr>
            </w:r>
          </w:p>
          <w:p>
            <w:pPr>
              <w:pStyle w:val="Heading3"/>
              <w:ind w:hanging="0" w:start="0"/>
              <w:rPr>
                <w:rStyle w:val="DefaultParagraphFont"/>
                <w:b w:val="false"/>
              </w:rPr>
            </w:pPr>
            <w:r>
              <w:rPr>
                <w:b/>
              </w:rPr>
            </w:r>
          </w:p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  <w:t>Panel session:</w:t>
            </w:r>
          </w:p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  <w:t>Investment manager panel: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approaches to internal risk management and investor disclosure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end="0"/>
              <w:jc w:val="start"/>
              <w:rPr>
                <w:rStyle w:val="DefaultParagraphFont"/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0"/>
              <w:jc w:val="start"/>
              <w:rPr>
                <w:rStyle w:val="DefaultParagraphFont"/>
                <w:rFonts w:ascii="Arial" w:hAnsi="Arial" w:cs="Arial"/>
                <w:sz w:val="18"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15. Creditex: assessing impact of e-trading on credit derivative and high yield markets</w:t>
            </w:r>
          </w:p>
          <w:p>
            <w:pPr>
              <w:pStyle w:val="Heading3"/>
              <w:ind w:hanging="0" w:start="0"/>
              <w:rPr/>
            </w:pPr>
            <w:r>
              <w:rPr/>
              <w:t>John McEvoy, Co-founder, Creditex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Sunil Hirani, Co-founder, Creditex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29. Commoditising operational risk: assessing the analytics behind re-insurance products designed to hedge operational risk</w:t>
            </w:r>
          </w:p>
          <w:p>
            <w:pPr>
              <w:pStyle w:val="BodyText2"/>
              <w:rPr/>
            </w:pPr>
            <w:r>
              <w:rPr/>
              <w:t>Lars Schmidt-Ott, Integrated risk solutions</w:t>
            </w:r>
          </w:p>
          <w:p>
            <w:pPr>
              <w:pStyle w:val="Heading3"/>
              <w:ind w:hanging="0" w:start="0"/>
              <w:rPr>
                <w:b w:val="false"/>
              </w:rPr>
            </w:pPr>
            <w:r>
              <w:rPr/>
              <w:t>Swiss Re Financial Products</w:t>
            </w:r>
          </w:p>
          <w:p>
            <w:pPr>
              <w:pStyle w:val="Normal"/>
              <w:rPr>
                <w:rStyle w:val="DefaultParagraphFont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Style w:val="DefaultParagraphFont"/>
                <w:rFonts w:ascii="Arial" w:hAnsi="Arial" w:cs="Arial"/>
                <w:sz w:val="18"/>
              </w:rPr>
            </w:pPr>
            <w:r>
              <w:rPr/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43. The implementation of the LIBOR market model</w:t>
            </w:r>
          </w:p>
          <w:p>
            <w:pPr>
              <w:pStyle w:val="Heading3"/>
              <w:ind w:hanging="0" w:start="0"/>
              <w:rPr/>
            </w:pPr>
            <w:r>
              <w:rPr/>
              <w:t>John Hull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Professor of finance, faculty of management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University of Toronto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jc w:val="star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</w:r>
          </w:p>
          <w:p>
            <w:pPr>
              <w:pStyle w:val="BodyText"/>
              <w:jc w:val="start"/>
              <w:rPr>
                <w:sz w:val="18"/>
              </w:rPr>
            </w:pPr>
            <w:r>
              <w:rPr>
                <w:sz w:val="18"/>
              </w:rPr>
              <w:t>Panel session:</w:t>
            </w:r>
          </w:p>
          <w:p>
            <w:pPr>
              <w:pStyle w:val="BodyText"/>
              <w:jc w:val="start"/>
              <w:rPr>
                <w:sz w:val="18"/>
              </w:rPr>
            </w:pPr>
            <w:r>
              <w:rPr>
                <w:sz w:val="18"/>
              </w:rPr>
              <w:t>Weather derivatives</w:t>
            </w:r>
          </w:p>
          <w:p>
            <w:pPr>
              <w:pStyle w:val="BodyText"/>
              <w:jc w:val="start"/>
              <w:rPr>
                <w:b/>
                <w:sz w:val="18"/>
              </w:rPr>
            </w:pPr>
            <w:r>
              <w:rPr>
                <w:b/>
                <w:sz w:val="18"/>
              </w:rPr>
              <w:t>Jeff Porter, Koch</w:t>
            </w:r>
          </w:p>
          <w:p>
            <w:pPr>
              <w:pStyle w:val="BodyText2"/>
              <w:rPr/>
            </w:pPr>
            <w:r>
              <w:rPr/>
              <w:t xml:space="preserve">Vince kaminski, Vice president, head of research, Enron </w:t>
            </w:r>
          </w:p>
          <w:p>
            <w:pPr>
              <w:pStyle w:val="Normal"/>
              <w:jc w:val="star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Ravi Nathan, Aquila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BodyText"/>
              <w:jc w:val="start"/>
              <w:rPr>
                <w:sz w:val="18"/>
              </w:rPr>
            </w:pPr>
            <w:r>
              <w:rPr>
                <w:sz w:val="18"/>
              </w:rPr>
              <w:t>Panel session:</w:t>
            </w:r>
          </w:p>
          <w:p>
            <w:pPr>
              <w:pStyle w:val="BodyText"/>
              <w:jc w:val="start"/>
              <w:rPr>
                <w:sz w:val="18"/>
              </w:rPr>
            </w:pPr>
            <w:r>
              <w:rPr>
                <w:sz w:val="18"/>
              </w:rPr>
              <w:t>Commoditising telecoms capacity</w:t>
            </w:r>
          </w:p>
          <w:p>
            <w:pPr>
              <w:pStyle w:val="BodyText"/>
              <w:jc w:val="start"/>
              <w:rPr>
                <w:b/>
                <w:sz w:val="18"/>
              </w:rPr>
            </w:pPr>
            <w:r>
              <w:rPr>
                <w:b/>
                <w:sz w:val="18"/>
              </w:rPr>
              <w:t>Mike Moore, Associate director, Amerex</w:t>
            </w:r>
          </w:p>
          <w:p>
            <w:pPr>
              <w:pStyle w:val="BodyText"/>
              <w:jc w:val="start"/>
              <w:rPr>
                <w:b/>
                <w:sz w:val="18"/>
              </w:rPr>
            </w:pPr>
            <w:r>
              <w:rPr>
                <w:b/>
                <w:sz w:val="18"/>
              </w:rPr>
              <w:t>Eric Raab, Managing director, AIG Telecom</w:t>
            </w:r>
          </w:p>
          <w:p>
            <w:pPr>
              <w:pStyle w:val="BodyText"/>
              <w:jc w:val="start"/>
              <w:rPr>
                <w:b/>
                <w:sz w:val="18"/>
              </w:rPr>
            </w:pPr>
            <w:r>
              <w:rPr>
                <w:b/>
                <w:sz w:val="18"/>
              </w:rPr>
              <w:t>Alex Mashinsky, Arbinet</w:t>
            </w:r>
          </w:p>
          <w:p>
            <w:pPr>
              <w:pStyle w:val="Heading3"/>
              <w:ind w:hanging="0" w:start="0"/>
              <w:rPr>
                <w:b/>
              </w:rPr>
            </w:pPr>
            <w:r>
              <w:rPr/>
              <w:t>Jon Tingley, Global Crossing</w:t>
            </w:r>
          </w:p>
          <w:p>
            <w:pPr>
              <w:pStyle w:val="Normal"/>
              <w:rPr>
                <w:rStyle w:val="DefaultParagraphFont"/>
                <w:b/>
              </w:rPr>
            </w:pPr>
            <w:r>
              <w:rPr>
                <w:b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Style w:val="DefaultParagraphFont"/>
                <w:rFonts w:ascii="Arial" w:hAnsi="Arial" w:cs="Arial"/>
                <w:sz w:val="18"/>
              </w:rPr>
            </w:pPr>
            <w:r>
              <w:rPr/>
            </w:r>
          </w:p>
          <w:p>
            <w:pPr>
              <w:pStyle w:val="BodyText3"/>
              <w:rPr/>
            </w:pPr>
            <w:r>
              <w:rPr/>
              <w:t>Panel session: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sz w:val="18"/>
              </w:rPr>
              <w:t>Integrating market risk and credit risk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Panel session:</w:t>
            </w:r>
          </w:p>
          <w:p>
            <w:pPr>
              <w:pStyle w:val="BodyText"/>
              <w:jc w:val="start"/>
              <w:rPr>
                <w:sz w:val="18"/>
              </w:rPr>
            </w:pPr>
            <w:r>
              <w:rPr>
                <w:sz w:val="18"/>
              </w:rPr>
              <w:t>Web revolution in finance</w:t>
            </w:r>
          </w:p>
          <w:p>
            <w:pPr>
              <w:pStyle w:val="BodyText"/>
              <w:jc w:val="start"/>
              <w:rPr>
                <w:b/>
                <w:sz w:val="18"/>
              </w:rPr>
            </w:pPr>
            <w:r>
              <w:rPr>
                <w:b/>
                <w:sz w:val="18"/>
              </w:rPr>
              <w:t>Ashvin Chhabra, Vice president, JP Morgan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Darryll Hendricks, Web-based regulation, Federal Reserve Bank of New York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Neil Chriss, President, IoCC Brokerage</w:t>
            </w:r>
          </w:p>
          <w:p>
            <w:pPr>
              <w:pStyle w:val="Normal"/>
              <w:jc w:val="start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40" w:right="1440" w:gutter="0" w:header="0" w:top="130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sz w:val="1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1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</w:rPr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/>
    <w:rPr>
      <w:rFonts w:ascii="Arial" w:hAnsi="Arial" w:cs="Arial"/>
      <w:b/>
      <w:sz w:val="18"/>
    </w:rPr>
  </w:style>
  <w:style w:type="paragraph" w:styleId="BodyText3">
    <w:name w:val="Body Text 3"/>
    <w:basedOn w:val="Normal"/>
    <w:qFormat/>
    <w:pPr/>
    <w:rPr>
      <w:rFonts w:ascii="Arial" w:hAnsi="Arial" w:cs="Arial"/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2000-01-17T11:24:00Z</dcterms:created>
  <dc:creator>Risk</dc:creator>
  <dc:description/>
  <dc:language>en-CA</dc:language>
  <cp:lastModifiedBy>Risk</cp:lastModifiedBy>
  <cp:lastPrinted>2000-01-18T11:41:00Z</cp:lastPrinted>
  <dcterms:modified xsi:type="dcterms:W3CDTF">2000-01-21T10:35:00Z</dcterms:modified>
  <cp:revision>10</cp:revision>
  <dc:subject/>
  <dc:title>RISK 2000</dc:title>
</cp:coreProperties>
</file>