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TECO Deal</w:t>
      </w:r>
    </w:p>
    <w:p>
      <w:pPr>
        <w:pStyle w:val="Normal"/>
        <w:jc w:val="center"/>
        <w:rPr>
          <w:b/>
          <w:bCs/>
        </w:rPr>
      </w:pPr>
      <w:r>
        <w:rPr>
          <w:b/>
          <w:bCs/>
        </w:rPr>
        <w:t>Executive Summary</w:t>
      </w:r>
    </w:p>
    <w:p>
      <w:pPr>
        <w:pStyle w:val="Normal"/>
        <w:rPr/>
      </w:pPr>
      <w:r>
        <w:rPr/>
      </w:r>
    </w:p>
    <w:p>
      <w:pPr>
        <w:pStyle w:val="Normal"/>
        <w:rPr/>
      </w:pPr>
      <w:r>
        <w:rPr/>
        <w:t>TECO/Mosbacher Delmarva Peninsula merchant power plant (the “Project”).  A seven unit, LM 6000 based, oil fired simple cycle power plant of approximately 315 total MW located in the Virginia portion of the Delmarva Peninsula in the county of Accomack.</w:t>
      </w:r>
    </w:p>
    <w:p>
      <w:pPr>
        <w:pStyle w:val="Normal"/>
        <w:rPr/>
      </w:pPr>
      <w:r>
        <w:rPr/>
      </w:r>
    </w:p>
    <w:p>
      <w:pPr>
        <w:pStyle w:val="Normal"/>
        <w:rPr>
          <w:u w:val="single"/>
        </w:rPr>
      </w:pPr>
      <w:r>
        <w:rPr>
          <w:u w:val="single"/>
        </w:rPr>
        <w:t>Concept</w:t>
      </w:r>
    </w:p>
    <w:p>
      <w:pPr>
        <w:pStyle w:val="Normal"/>
        <w:rPr/>
      </w:pPr>
      <w:r>
        <w:rPr/>
      </w:r>
    </w:p>
    <w:p>
      <w:pPr>
        <w:pStyle w:val="Normal"/>
        <w:rPr/>
      </w:pPr>
      <w:r>
        <w:rPr/>
        <w:t>The capital markets have demonstrated a very conservative approach to valuing and rating merchant generators.  Especially peaking and mid-merit assets.  This manifests itself in higher coverage requirements, lower leverage ratios, non-investment grade ratings and shorter financing terms.  I believe the causes for this include: lack of earnings history for merchant generators; a fear and lack of  expertise from investors of forward commodity price lines and risk management techniques; and a strong desire not to have to exercise collateral rights and take control of the power plant.</w:t>
      </w:r>
    </w:p>
    <w:p>
      <w:pPr>
        <w:pStyle w:val="Normal"/>
        <w:rPr/>
      </w:pPr>
      <w:r>
        <w:rPr/>
      </w:r>
    </w:p>
    <w:p>
      <w:pPr>
        <w:pStyle w:val="Normal"/>
        <w:rPr/>
      </w:pPr>
      <w:r>
        <w:rPr/>
        <w:t>Meanwhile, Enron has looked at several asset auctions and merchant plant developments and found it difficult to support the winning purchase price or development cost with our commodity price curves.  However, Enron can often get within 60% - 80% of the winning valuation.  This in itself is more leverage than these plants are being awarded by the capital markets.</w:t>
      </w:r>
    </w:p>
    <w:p>
      <w:pPr>
        <w:pStyle w:val="Normal"/>
        <w:rPr/>
      </w:pPr>
      <w:r>
        <w:rPr/>
      </w:r>
    </w:p>
    <w:p>
      <w:pPr>
        <w:pStyle w:val="Normal"/>
        <w:rPr/>
      </w:pPr>
      <w:r>
        <w:rPr/>
        <w:t>My concept is for Enron to offer merchant generators a commodity “put” or a guarantee of a commodity price “floor” that assures enough revenues for a pre-determined amount of debt.  On that basis, the generator will argue to the rating agencies that it has managed the merchant commodity price exposure, receive an investment grade rating and gain access to the long term, investment grade capital markets.  In essence, Enron assumes a creditor equivalent position with the generator for an amount of debt that we specify in advance and determined using Enron’s mid curves.  Our position will be secured by a mortgage on the project and marketing rights.</w:t>
      </w:r>
    </w:p>
    <w:p>
      <w:pPr>
        <w:pStyle w:val="Normal"/>
        <w:rPr/>
      </w:pPr>
      <w:r>
        <w:rPr/>
      </w:r>
    </w:p>
    <w:p>
      <w:pPr>
        <w:pStyle w:val="Normal"/>
        <w:rPr/>
      </w:pPr>
      <w:r>
        <w:rPr/>
        <w:t>The contract we are offering is a price risk management contract.  As a result, it will not be reflected as a guarantee of debt or effect Enron’s balance sheet or credit on any basis other then as a price risk management contract.  Enron will collect its fee up-front and will remain a passive participant in the Project until we are owed money or there is a default after which we re-engage to protect our creditor and collateral rights.</w:t>
      </w:r>
    </w:p>
    <w:p>
      <w:pPr>
        <w:pStyle w:val="Normal"/>
        <w:rPr/>
      </w:pPr>
      <w:r>
        <w:rPr/>
      </w:r>
    </w:p>
    <w:p>
      <w:pPr>
        <w:pStyle w:val="Normal"/>
        <w:rPr>
          <w:u w:val="single"/>
        </w:rPr>
      </w:pPr>
      <w:r>
        <w:rPr>
          <w:u w:val="single"/>
        </w:rPr>
        <w:t>Enron’s competitive advantages over other creditors</w:t>
      </w:r>
    </w:p>
    <w:p>
      <w:pPr>
        <w:pStyle w:val="Normal"/>
        <w:rPr/>
      </w:pPr>
      <w:r>
        <w:rPr/>
      </w:r>
    </w:p>
    <w:p>
      <w:pPr>
        <w:pStyle w:val="Normal"/>
        <w:numPr>
          <w:ilvl w:val="0"/>
          <w:numId w:val="1"/>
        </w:numPr>
        <w:tabs>
          <w:tab w:val="clear" w:pos="720"/>
          <w:tab w:val="left" w:pos="0" w:leader="none"/>
        </w:tabs>
        <w:ind w:hanging="720" w:start="720" w:end="0"/>
        <w:rPr/>
      </w:pPr>
      <w:r>
        <w:rPr/>
        <w:t>As opposed to other creditors, Enron makes markets in everything that touches a merchant generator:  fuel, output including emissions, and money.</w:t>
      </w:r>
    </w:p>
    <w:p>
      <w:pPr>
        <w:pStyle w:val="Normal"/>
        <w:numPr>
          <w:ilvl w:val="0"/>
          <w:numId w:val="1"/>
        </w:numPr>
        <w:tabs>
          <w:tab w:val="clear" w:pos="720"/>
          <w:tab w:val="left" w:pos="0" w:leader="none"/>
        </w:tabs>
        <w:ind w:hanging="720" w:start="720" w:end="0"/>
        <w:rPr/>
      </w:pPr>
      <w:r>
        <w:rPr/>
        <w:t>Enron can manage the price risk around those commodities.</w:t>
      </w:r>
    </w:p>
    <w:p>
      <w:pPr>
        <w:pStyle w:val="Normal"/>
        <w:numPr>
          <w:ilvl w:val="0"/>
          <w:numId w:val="1"/>
        </w:numPr>
        <w:tabs>
          <w:tab w:val="clear" w:pos="720"/>
          <w:tab w:val="left" w:pos="0" w:leader="none"/>
        </w:tabs>
        <w:ind w:hanging="360" w:start="720" w:end="0"/>
        <w:rPr/>
      </w:pPr>
      <w:r>
        <w:rPr/>
        <w:t>Enron has expertise on how to operate and extract full commercial value from the collateral.</w:t>
      </w:r>
    </w:p>
    <w:p>
      <w:pPr>
        <w:pStyle w:val="Normal"/>
        <w:rPr/>
      </w:pPr>
      <w:r>
        <w:rPr/>
      </w:r>
    </w:p>
    <w:p>
      <w:pPr>
        <w:pStyle w:val="Normal"/>
        <w:rPr>
          <w:u w:val="single"/>
        </w:rPr>
      </w:pPr>
      <w:r>
        <w:rPr>
          <w:u w:val="single"/>
        </w:rPr>
        <w:t>Arbitrage Enron is exploiting</w:t>
      </w:r>
    </w:p>
    <w:p>
      <w:pPr>
        <w:pStyle w:val="Normal"/>
        <w:rPr/>
      </w:pPr>
      <w:r>
        <w:rPr/>
      </w:r>
    </w:p>
    <w:p>
      <w:pPr>
        <w:pStyle w:val="Normal"/>
        <w:rPr/>
      </w:pPr>
      <w:r>
        <w:rPr/>
        <w:t>As long as Enron’s plant valuation and risk management techniques offer leverage and term advantages over the capital markets, we have a market for this concept.  The potential market for this structure is huge.  For example, Duke Energy, Conectiv, NRG, Mission and Orion all could use this structure.</w:t>
      </w:r>
    </w:p>
    <w:p>
      <w:pPr>
        <w:pStyle w:val="Normal"/>
        <w:rPr/>
      </w:pPr>
      <w:r>
        <w:rPr/>
      </w:r>
    </w:p>
    <w:p>
      <w:pPr>
        <w:pStyle w:val="Normal"/>
        <w:rPr>
          <w:u w:val="single"/>
        </w:rPr>
      </w:pPr>
      <w:r>
        <w:rPr>
          <w:u w:val="single"/>
        </w:rPr>
        <w:t>Basic Structure (see term sheet attached)</w:t>
      </w:r>
    </w:p>
    <w:p>
      <w:pPr>
        <w:pStyle w:val="Normal"/>
        <w:rPr/>
      </w:pPr>
      <w:r>
        <w:rPr/>
      </w:r>
    </w:p>
    <w:p>
      <w:pPr>
        <w:pStyle w:val="Normal"/>
        <w:rPr/>
      </w:pPr>
      <w:r>
        <w:rPr/>
        <w:t>Discussed in the context of the immediate opportunity (i.e. the Delmarva peakers or the Project)</w:t>
      </w:r>
    </w:p>
    <w:p>
      <w:pPr>
        <w:pStyle w:val="Normal"/>
        <w:rPr/>
      </w:pPr>
      <w:r>
        <w:rPr/>
      </w:r>
    </w:p>
    <w:p>
      <w:pPr>
        <w:pStyle w:val="Normal"/>
        <w:numPr>
          <w:ilvl w:val="0"/>
          <w:numId w:val="2"/>
        </w:numPr>
        <w:tabs>
          <w:tab w:val="clear" w:pos="720"/>
          <w:tab w:val="left" w:pos="0" w:leader="none"/>
        </w:tabs>
        <w:ind w:hanging="720" w:start="720" w:end="0"/>
        <w:rPr/>
      </w:pPr>
      <w:r>
        <w:rPr/>
        <w:t>EPMI will limit the amount of debt that can be carried by the llc for each year over 20-years (“Covered Debt”).  The debt will amortize over the twenty year period at a payment rate specified by Enron.</w:t>
      </w:r>
    </w:p>
    <w:p>
      <w:pPr>
        <w:pStyle w:val="Normal"/>
        <w:numPr>
          <w:ilvl w:val="0"/>
          <w:numId w:val="2"/>
        </w:numPr>
        <w:tabs>
          <w:tab w:val="clear" w:pos="720"/>
          <w:tab w:val="left" w:pos="0" w:leader="none"/>
        </w:tabs>
        <w:ind w:hanging="720" w:start="720" w:end="0"/>
        <w:rPr/>
      </w:pPr>
      <w:r>
        <w:rPr/>
        <w:t>The debt specified by Enron or accrued through the Enron Lender (below) will be the only debt the llc is allowed to carry.</w:t>
      </w:r>
    </w:p>
    <w:p>
      <w:pPr>
        <w:pStyle w:val="Normal"/>
        <w:numPr>
          <w:ilvl w:val="0"/>
          <w:numId w:val="2"/>
        </w:numPr>
        <w:tabs>
          <w:tab w:val="clear" w:pos="720"/>
          <w:tab w:val="left" w:pos="0" w:leader="none"/>
        </w:tabs>
        <w:ind w:hanging="720" w:start="720" w:end="0"/>
        <w:rPr/>
      </w:pPr>
      <w:r>
        <w:rPr/>
        <w:t>EPMI will enter into two parallel price risk management contracts with the Project llc.  The first one buys all output from the Project and the second resells the output back on the same terms.  The two PPA’s are de-linked as to performance.  The PPA’s have market based ld’s and obligations under the PPA’s are secured by a mortgage on all the assets of the llc including the Project.</w:t>
      </w:r>
    </w:p>
    <w:p>
      <w:pPr>
        <w:pStyle w:val="Normal"/>
        <w:numPr>
          <w:ilvl w:val="0"/>
          <w:numId w:val="2"/>
        </w:numPr>
        <w:tabs>
          <w:tab w:val="clear" w:pos="720"/>
          <w:tab w:val="left" w:pos="0" w:leader="none"/>
        </w:tabs>
        <w:ind w:hanging="720" w:start="720" w:end="0"/>
        <w:rPr/>
      </w:pPr>
      <w:r>
        <w:rPr/>
        <w:t>EFC or some other comparable entity (the “Enron Lender”) will offer a credit facility to the llc that can be drawn upon for very specific purposes such as:  making payments owed EPMI under either of the PPA’s, O&amp;M requirements (with EPMI’s approval) and other costs that effect collateral value.  Loans extended by the Enron Lender will be secured by a mortgage on all the assets of the llc including the Project.</w:t>
      </w:r>
    </w:p>
    <w:p>
      <w:pPr>
        <w:pStyle w:val="Normal"/>
        <w:numPr>
          <w:ilvl w:val="0"/>
          <w:numId w:val="2"/>
        </w:numPr>
        <w:tabs>
          <w:tab w:val="clear" w:pos="720"/>
          <w:tab w:val="left" w:pos="0" w:leader="none"/>
        </w:tabs>
        <w:ind w:hanging="720" w:start="720" w:end="0"/>
        <w:rPr/>
      </w:pPr>
      <w:r>
        <w:rPr/>
        <w:t>The purpose for the Enron Lender is to create a vehicle to evidence indebtedness other than through an executory contract (i.e. the two PPAs).  This offers certain advantages during a bankruptcy proceeding.</w:t>
      </w:r>
    </w:p>
    <w:p>
      <w:pPr>
        <w:pStyle w:val="Normal"/>
        <w:numPr>
          <w:ilvl w:val="0"/>
          <w:numId w:val="2"/>
        </w:numPr>
        <w:tabs>
          <w:tab w:val="clear" w:pos="720"/>
          <w:tab w:val="left" w:pos="0" w:leader="none"/>
        </w:tabs>
        <w:ind w:hanging="720" w:start="720" w:end="0"/>
        <w:rPr/>
      </w:pPr>
      <w:r>
        <w:rPr/>
        <w:t>The two PPAs should move in tandem and offset each other with regard to earnings and VAR limits.</w:t>
      </w:r>
    </w:p>
    <w:p>
      <w:pPr>
        <w:pStyle w:val="Normal"/>
        <w:numPr>
          <w:ilvl w:val="0"/>
          <w:numId w:val="2"/>
        </w:numPr>
        <w:tabs>
          <w:tab w:val="clear" w:pos="720"/>
          <w:tab w:val="left" w:pos="0" w:leader="none"/>
        </w:tabs>
        <w:ind w:hanging="360" w:start="720" w:end="0"/>
        <w:rPr/>
      </w:pPr>
      <w:r>
        <w:rPr/>
        <w:t>Enron’s mortgage on the assets of the llc under both the PPAs and the Enron Lender facility is exercisable after only a 30-day grace period.</w:t>
      </w:r>
    </w:p>
    <w:p>
      <w:pPr>
        <w:pStyle w:val="Normal"/>
        <w:rPr/>
      </w:pPr>
      <w:r>
        <w:rPr/>
      </w:r>
    </w:p>
    <w:p>
      <w:pPr>
        <w:pStyle w:val="Normal"/>
        <w:rPr>
          <w:u w:val="single"/>
        </w:rPr>
      </w:pPr>
      <w:r>
        <w:rPr>
          <w:u w:val="single"/>
        </w:rPr>
        <w:t>Projected economics</w:t>
      </w:r>
    </w:p>
    <w:p>
      <w:pPr>
        <w:pStyle w:val="Normal"/>
        <w:rPr/>
      </w:pPr>
      <w:r>
        <w:rPr/>
      </w:r>
    </w:p>
    <w:p>
      <w:pPr>
        <w:pStyle w:val="Normal"/>
        <w:rPr/>
      </w:pPr>
      <w:r>
        <w:rPr/>
        <w:t>315 MW at $375/kw EPMI initial valuation results in $118.1 million of covered debt.  EPMI’s fee is 5% of covered debt or $5.9 million plus expense reimbursement.  Revenue to origination will be net of credit charges and fee to risk management desk (both in progress).  Market potential would include $billions in potential covered debt and tens of $million of fee income to EPMI.</w:t>
      </w:r>
    </w:p>
    <w:p>
      <w:pPr>
        <w:pStyle w:val="Normal"/>
        <w:rPr/>
      </w:pPr>
      <w:r>
        <w:rPr/>
      </w:r>
    </w:p>
    <w:p>
      <w:pPr>
        <w:pStyle w:val="Normal"/>
        <w:rPr>
          <w:u w:val="single"/>
        </w:rPr>
      </w:pPr>
      <w:r>
        <w:rPr>
          <w:u w:val="single"/>
        </w:rPr>
        <w:t>High level risk management strategy</w:t>
      </w:r>
    </w:p>
    <w:p>
      <w:pPr>
        <w:pStyle w:val="Normal"/>
        <w:rPr/>
      </w:pPr>
      <w:r>
        <w:rPr/>
      </w:r>
    </w:p>
    <w:p>
      <w:pPr>
        <w:pStyle w:val="Normal"/>
        <w:numPr>
          <w:ilvl w:val="0"/>
          <w:numId w:val="3"/>
        </w:numPr>
        <w:tabs>
          <w:tab w:val="clear" w:pos="720"/>
          <w:tab w:val="left" w:pos="0" w:leader="none"/>
        </w:tabs>
        <w:ind w:hanging="720" w:start="720" w:end="0"/>
        <w:rPr/>
      </w:pPr>
      <w:r>
        <w:rPr/>
        <w:t>The collateral value of the assets of the llc including the Project plus value of hedges in place must be greater then the par amount of bonds outstanding plus accrued liabilities under the PPA’s and with the Enron Lender.</w:t>
      </w:r>
    </w:p>
    <w:p>
      <w:pPr>
        <w:pStyle w:val="Normal"/>
        <w:numPr>
          <w:ilvl w:val="0"/>
          <w:numId w:val="3"/>
        </w:numPr>
        <w:tabs>
          <w:tab w:val="clear" w:pos="720"/>
          <w:tab w:val="left" w:pos="0" w:leader="none"/>
        </w:tabs>
        <w:ind w:hanging="360" w:start="720" w:end="0"/>
        <w:rPr/>
      </w:pPr>
      <w:r>
        <w:rPr/>
        <w:t>In essence, we’re protecting ourselves against a MTM loss on the day we take control of the llc after exercising our collateral rights.</w:t>
      </w:r>
    </w:p>
    <w:p>
      <w:pPr>
        <w:pStyle w:val="Normal"/>
        <w:rPr/>
      </w:pPr>
      <w:r>
        <w:rPr/>
      </w:r>
    </w:p>
    <w:p>
      <w:pPr>
        <w:pStyle w:val="Normal"/>
        <w:rPr>
          <w:u w:val="single"/>
        </w:rPr>
      </w:pPr>
      <w:r>
        <w:rPr>
          <w:u w:val="single"/>
        </w:rPr>
        <w:t>Tangential hedging strategies</w:t>
      </w:r>
    </w:p>
    <w:p>
      <w:pPr>
        <w:pStyle w:val="Normal"/>
        <w:rPr/>
      </w:pPr>
      <w:r>
        <w:rPr/>
      </w:r>
    </w:p>
    <w:p>
      <w:pPr>
        <w:pStyle w:val="Normal"/>
        <w:numPr>
          <w:ilvl w:val="0"/>
          <w:numId w:val="4"/>
        </w:numPr>
        <w:tabs>
          <w:tab w:val="clear" w:pos="720"/>
          <w:tab w:val="left" w:pos="0" w:leader="none"/>
        </w:tabs>
        <w:ind w:hanging="720" w:start="780" w:end="0"/>
        <w:rPr/>
      </w:pPr>
      <w:r>
        <w:rPr/>
        <w:t>Jere Overdyke’s insurance group and their insurance company contacts as potential investors in the merchant price line.</w:t>
      </w:r>
    </w:p>
    <w:p>
      <w:pPr>
        <w:pStyle w:val="Normal"/>
        <w:numPr>
          <w:ilvl w:val="0"/>
          <w:numId w:val="4"/>
        </w:numPr>
        <w:tabs>
          <w:tab w:val="clear" w:pos="720"/>
          <w:tab w:val="left" w:pos="0" w:leader="none"/>
        </w:tabs>
        <w:ind w:hanging="360" w:start="780" w:end="0"/>
        <w:rPr/>
      </w:pPr>
      <w:r>
        <w:rPr/>
        <w:t>Sell a put of a call option contract matching EPMI’s exposure to another industry player for an up-front fee.</w:t>
      </w:r>
    </w:p>
    <w:p>
      <w:pPr>
        <w:pStyle w:val="Normal"/>
        <w:rPr/>
      </w:pPr>
      <w:r>
        <w:rPr/>
      </w:r>
    </w:p>
    <w:p>
      <w:pPr>
        <w:pStyle w:val="Normal"/>
        <w:rPr>
          <w:u w:val="single"/>
        </w:rPr>
      </w:pPr>
      <w:r>
        <w:rPr>
          <w:u w:val="single"/>
        </w:rPr>
        <w:t>Difficult to value intangibles</w:t>
      </w:r>
    </w:p>
    <w:p>
      <w:pPr>
        <w:pStyle w:val="Normal"/>
        <w:rPr/>
      </w:pPr>
      <w:r>
        <w:rPr/>
      </w:r>
    </w:p>
    <w:p>
      <w:pPr>
        <w:pStyle w:val="Normal"/>
        <w:numPr>
          <w:ilvl w:val="0"/>
          <w:numId w:val="5"/>
        </w:numPr>
        <w:tabs>
          <w:tab w:val="clear" w:pos="720"/>
          <w:tab w:val="left" w:pos="0" w:leader="none"/>
        </w:tabs>
        <w:ind w:hanging="720" w:start="720" w:end="0"/>
        <w:rPr/>
      </w:pPr>
      <w:r>
        <w:rPr/>
        <w:t>Collateral valuation will always be able to consider the remaining useful life of the Project; the contribution (if any) of the project to reducing Enron’s overall risk positions; the value of the Project to another industry player; the capital markets or any other medium that could serve to maximize value.</w:t>
      </w:r>
    </w:p>
    <w:p>
      <w:pPr>
        <w:pStyle w:val="Normal"/>
        <w:numPr>
          <w:ilvl w:val="0"/>
          <w:numId w:val="5"/>
        </w:numPr>
        <w:tabs>
          <w:tab w:val="clear" w:pos="720"/>
          <w:tab w:val="left" w:pos="0" w:leader="none"/>
        </w:tabs>
        <w:ind w:hanging="720" w:start="720" w:end="0"/>
        <w:rPr/>
      </w:pPr>
      <w:r>
        <w:rPr/>
        <w:t>Enron has a natural bias to undervalue generation assets because of our lack of conviction around price lines for which there are no meaningful markets and inexperience with ICAP and ancillary service markets.  This creates a buffer that could be useful down the road to avoid MTM issues around inefficiencies associated with the relative valuation of  hedges and collateral assets.</w:t>
      </w:r>
    </w:p>
    <w:p>
      <w:pPr>
        <w:pStyle w:val="Normal"/>
        <w:numPr>
          <w:ilvl w:val="0"/>
          <w:numId w:val="5"/>
        </w:numPr>
        <w:tabs>
          <w:tab w:val="clear" w:pos="720"/>
          <w:tab w:val="left" w:pos="0" w:leader="none"/>
        </w:tabs>
        <w:ind w:hanging="720" w:start="720" w:end="0"/>
        <w:rPr/>
      </w:pPr>
      <w:r>
        <w:rPr/>
        <w:t>The “put” or “floor” is not measured on an hourly or even daily basis but based on average price every six-months in arrears.  The put also reflects all revenues available to the llc including insurance proceeds and reserves.  If there’s a volatility effect at work, its measured over a six-month price.  Intuitively, the more volatile the market, the more valuable the collateral for our position.</w:t>
      </w:r>
    </w:p>
    <w:p>
      <w:pPr>
        <w:pStyle w:val="Normal"/>
        <w:numPr>
          <w:ilvl w:val="0"/>
          <w:numId w:val="5"/>
        </w:numPr>
        <w:tabs>
          <w:tab w:val="clear" w:pos="720"/>
          <w:tab w:val="left" w:pos="0" w:leader="none"/>
        </w:tabs>
        <w:ind w:hanging="720" w:start="720" w:end="0"/>
        <w:rPr/>
      </w:pPr>
      <w:r>
        <w:rPr/>
        <w:t>Equity will be unlikely to allow Enron’s mortgage to “go live” in the early life of the Project because we could take the project away from them.  In essence, they would be selling Enron all the time value associated with the remaining life of the Project.</w:t>
      </w:r>
    </w:p>
    <w:p>
      <w:pPr>
        <w:pStyle w:val="Normal"/>
        <w:numPr>
          <w:ilvl w:val="0"/>
          <w:numId w:val="5"/>
        </w:numPr>
        <w:tabs>
          <w:tab w:val="clear" w:pos="720"/>
          <w:tab w:val="left" w:pos="0" w:leader="none"/>
        </w:tabs>
        <w:ind w:hanging="360" w:start="720" w:end="0"/>
        <w:rPr/>
      </w:pPr>
      <w:r>
        <w:rPr/>
        <w:t>Enron’s exposure to the llc reduces annually with the amortization of the debt.  Equity will likely refinance and remove Enron’s mortgage and restrictive covenants from over their heads at that point in the Projects life when the par amount of Covered Debt outstanding is less than the leverage they could obtain without Enron.</w:t>
      </w:r>
      <w:r>
        <w:br w:type="page"/>
      </w:r>
    </w:p>
    <w:p>
      <w:pPr>
        <w:pStyle w:val="Normal"/>
        <w:jc w:val="center"/>
        <w:rPr>
          <w:b/>
          <w:bCs/>
        </w:rPr>
      </w:pPr>
      <w:r>
        <w:rPr>
          <w:b/>
          <w:bCs/>
        </w:rPr>
        <w:t>TECO Deal</w:t>
      </w:r>
    </w:p>
    <w:p>
      <w:pPr>
        <w:pStyle w:val="Heading"/>
        <w:widowControl/>
        <w:rPr>
          <w:sz w:val="24"/>
          <w:szCs w:val="24"/>
        </w:rPr>
      </w:pPr>
      <w:r>
        <w:rPr>
          <w:sz w:val="24"/>
          <w:szCs w:val="24"/>
        </w:rPr>
        <w:t>Draft Summary of Terms</w:t>
      </w:r>
    </w:p>
    <w:p>
      <w:pPr>
        <w:pStyle w:val="Normal"/>
        <w:rPr>
          <w:b/>
          <w:bCs/>
          <w:sz w:val="28"/>
          <w:szCs w:val="28"/>
        </w:rPr>
      </w:pPr>
      <w:r>
        <w:rPr>
          <w:b/>
          <w:bCs/>
          <w:sz w:val="28"/>
          <w:szCs w:val="28"/>
        </w:rPr>
      </w:r>
    </w:p>
    <w:p>
      <w:pPr>
        <w:pStyle w:val="Normal"/>
        <w:tabs>
          <w:tab w:val="clear" w:pos="720"/>
          <w:tab w:val="left" w:pos="2160" w:leader="none"/>
        </w:tabs>
        <w:ind w:hanging="2160" w:start="2160" w:end="0"/>
        <w:jc w:val="both"/>
        <w:rPr/>
      </w:pPr>
      <w:r>
        <w:rPr/>
        <w:t>Seller:</w:t>
        <w:tab/>
        <w:t>Enron Power Marketing, Inc. (“EPMI”) or an affiliated SPV or LLC.</w:t>
      </w:r>
    </w:p>
    <w:p>
      <w:pPr>
        <w:pStyle w:val="Normal"/>
        <w:ind w:start="2160" w:end="0"/>
        <w:jc w:val="both"/>
        <w:rPr/>
      </w:pPr>
      <w:r>
        <w:rPr/>
      </w:r>
    </w:p>
    <w:p>
      <w:pPr>
        <w:pStyle w:val="Normal"/>
        <w:tabs>
          <w:tab w:val="clear" w:pos="720"/>
          <w:tab w:val="left" w:pos="2160" w:leader="none"/>
        </w:tabs>
        <w:ind w:hanging="2160" w:start="2160" w:end="0"/>
        <w:jc w:val="both"/>
        <w:rPr/>
      </w:pPr>
      <w:r>
        <w:rPr/>
        <w:t>Buyer:</w:t>
        <w:tab/>
        <w:t xml:space="preserve">Commonwealth Chesapeake Company LLC (“CCC”), a Virginia limited liability company, and a wholly owned affiliate of TECO Energy Inc., and Mosbacher Power Company. </w:t>
      </w:r>
    </w:p>
    <w:p>
      <w:pPr>
        <w:pStyle w:val="Normal"/>
        <w:tabs>
          <w:tab w:val="clear" w:pos="720"/>
          <w:tab w:val="left" w:pos="2160" w:leader="none"/>
        </w:tabs>
        <w:jc w:val="both"/>
        <w:rPr/>
      </w:pPr>
      <w:r>
        <w:rPr/>
      </w:r>
    </w:p>
    <w:p>
      <w:pPr>
        <w:pStyle w:val="BodyTextIndent"/>
        <w:widowControl/>
        <w:jc w:val="both"/>
        <w:rPr/>
      </w:pPr>
      <w:r>
        <w:rPr/>
        <w:t>Contract:</w:t>
        <w:tab/>
        <w:t>A commodity price management contract(s) (“CPMC”) designed to cover the difference if any between defined available revenues plus available reserves and principal and interest payments for a predetermined amount of debt (“Covered Debt”), such that the merchant exposure of the Project will be minimized and a bond rating at least equal to Enron’s rating (BBB+/Baa2) would be achieved.  The Product will only cover commodity price risk for fuel and electricity, capacity and ancillary services.  The Product will not cover risks of unit construction, timing of completion, availability, operation or force majeure.</w:t>
      </w:r>
    </w:p>
    <w:p>
      <w:pPr>
        <w:pStyle w:val="BodyTextIndent"/>
        <w:widowControl/>
        <w:jc w:val="both"/>
        <w:rPr/>
      </w:pPr>
      <w:r>
        <w:rPr/>
      </w:r>
    </w:p>
    <w:p>
      <w:pPr>
        <w:pStyle w:val="BodyTextIndent"/>
        <w:widowControl/>
        <w:ind w:hanging="0" w:end="0"/>
        <w:jc w:val="both"/>
        <w:rPr/>
      </w:pPr>
      <w:r>
        <w:rPr/>
        <w:t>The current structure being considered for the CPMC reflects two (2) reciprocal power purchase agreements (“PPA’s”) tied to either market pricing or an identifiable index with applicable netting features.  The effect of the structure is to establish a commodity price floor to support the net profitability for the Project at a 1.0 x debt service coverage level.</w:t>
        <w:tab/>
        <w:tab/>
      </w:r>
    </w:p>
    <w:p>
      <w:pPr>
        <w:pStyle w:val="BodyTextIndent"/>
        <w:widowControl/>
        <w:ind w:hanging="0" w:start="0" w:end="0"/>
        <w:jc w:val="both"/>
        <w:rPr/>
      </w:pPr>
      <w:r>
        <w:rPr/>
      </w:r>
    </w:p>
    <w:p>
      <w:pPr>
        <w:pStyle w:val="BodyTextIndent"/>
        <w:widowControl/>
        <w:tabs>
          <w:tab w:val="clear" w:pos="720"/>
          <w:tab w:val="left" w:pos="2160" w:leader="none"/>
        </w:tabs>
        <w:jc w:val="both"/>
        <w:rPr/>
      </w:pPr>
      <w:r>
        <w:rPr/>
        <w:tab/>
        <w:t>The first PPA (“Purchase PPA”) will purchase all the available output of the Project including capacity, availability and ancillary services.  The second PPA (“Sale PPA”) will sell all available output of the Project back to CCC.  Payments under the Purchase PPA and the Sale PPA will be netted against each other.</w:t>
      </w:r>
    </w:p>
    <w:p>
      <w:pPr>
        <w:pStyle w:val="BodyTextIndent"/>
        <w:widowControl/>
        <w:ind w:hanging="0" w:start="0" w:end="0"/>
        <w:jc w:val="both"/>
        <w:rPr/>
      </w:pPr>
      <w:r>
        <w:rPr/>
      </w:r>
    </w:p>
    <w:p>
      <w:pPr>
        <w:pStyle w:val="Normal"/>
        <w:ind w:hanging="2160" w:start="2160" w:end="0"/>
        <w:jc w:val="both"/>
        <w:rPr/>
      </w:pPr>
      <w:r>
        <w:rPr/>
        <w:t>Project:</w:t>
        <w:tab/>
        <w:t>A 7 unit, LM 6000 based simple cycle power plant of approximately 315 total MW located in the Virginia portion of the Delmarva Peninsula in the county of Accomack.</w:t>
      </w:r>
    </w:p>
    <w:p>
      <w:pPr>
        <w:pStyle w:val="Normal"/>
        <w:tabs>
          <w:tab w:val="clear" w:pos="720"/>
          <w:tab w:val="left" w:pos="2160" w:leader="none"/>
        </w:tabs>
        <w:jc w:val="both"/>
        <w:rPr/>
      </w:pPr>
      <w:r>
        <w:rPr/>
      </w:r>
    </w:p>
    <w:p>
      <w:pPr>
        <w:pStyle w:val="Normal"/>
        <w:tabs>
          <w:tab w:val="clear" w:pos="720"/>
          <w:tab w:val="left" w:pos="2160" w:leader="none"/>
        </w:tabs>
        <w:ind w:hanging="2160" w:start="2160" w:end="0"/>
        <w:jc w:val="both"/>
        <w:rPr/>
      </w:pPr>
      <w:r>
        <w:rPr/>
        <w:t>Term:</w:t>
        <w:tab/>
        <w:t>20 years.</w:t>
      </w:r>
    </w:p>
    <w:p>
      <w:pPr>
        <w:pStyle w:val="Normal"/>
        <w:tabs>
          <w:tab w:val="clear" w:pos="720"/>
          <w:tab w:val="left" w:pos="2160" w:leader="none"/>
          <w:tab w:val="left" w:pos="3600" w:leader="none"/>
        </w:tabs>
        <w:ind w:hanging="2160" w:start="2160" w:end="0"/>
        <w:jc w:val="both"/>
        <w:rPr/>
      </w:pPr>
      <w:r>
        <w:rPr/>
      </w:r>
    </w:p>
    <w:p>
      <w:pPr>
        <w:pStyle w:val="Normal"/>
        <w:tabs>
          <w:tab w:val="clear" w:pos="720"/>
          <w:tab w:val="left" w:pos="2160" w:leader="none"/>
          <w:tab w:val="left" w:pos="3600" w:leader="none"/>
        </w:tabs>
        <w:ind w:hanging="2160" w:start="2160" w:end="0"/>
        <w:jc w:val="both"/>
        <w:rPr/>
      </w:pPr>
      <w:r>
        <w:rPr/>
        <w:t>CPMC Obligations:</w:t>
        <w:tab/>
        <w:t xml:space="preserve">All unpaid obligations of CCC under the CPMC (“CPMC Obligations”) shall bear interest until paid at a per annum rate of prime plus three percent. </w:t>
      </w:r>
    </w:p>
    <w:p>
      <w:pPr>
        <w:pStyle w:val="Normal"/>
        <w:tabs>
          <w:tab w:val="clear" w:pos="720"/>
          <w:tab w:val="left" w:pos="2160" w:leader="none"/>
          <w:tab w:val="left" w:pos="3600" w:leader="none"/>
        </w:tabs>
        <w:jc w:val="both"/>
        <w:rPr/>
      </w:pPr>
      <w:r>
        <w:rPr/>
      </w:r>
    </w:p>
    <w:p>
      <w:pPr>
        <w:pStyle w:val="Normal"/>
        <w:tabs>
          <w:tab w:val="clear" w:pos="720"/>
          <w:tab w:val="left" w:pos="2160" w:leader="none"/>
          <w:tab w:val="left" w:pos="3600" w:leader="none"/>
        </w:tabs>
        <w:ind w:hanging="2160" w:start="2160" w:end="0"/>
        <w:jc w:val="both"/>
        <w:rPr/>
      </w:pPr>
      <w:r>
        <w:rPr/>
        <w:t>Security:</w:t>
        <w:tab/>
        <w:t>All tangible and intangible assets of or related to the Project and CCC, including revenues, marketing contracts/rights, and all ownership interests in CCC, subject only to an acceptable subordination agreement in favor of the senior lender.  In the event the CPMC Obligations remain outstanding beyond 30 days, EPMI may exercise all rights on security</w:t>
      </w:r>
      <w:r>
        <w:rPr>
          <w:b/>
          <w:bCs/>
        </w:rPr>
        <w:t>.</w:t>
      </w:r>
    </w:p>
    <w:p>
      <w:pPr>
        <w:pStyle w:val="Normal"/>
        <w:tabs>
          <w:tab w:val="clear" w:pos="720"/>
          <w:tab w:val="left" w:pos="2160" w:leader="none"/>
          <w:tab w:val="left" w:pos="3600" w:leader="none"/>
        </w:tabs>
        <w:jc w:val="both"/>
        <w:rPr>
          <w:b/>
          <w:bCs/>
        </w:rPr>
      </w:pPr>
      <w:r>
        <w:rPr>
          <w:b/>
          <w:bCs/>
        </w:rPr>
      </w:r>
    </w:p>
    <w:p>
      <w:pPr>
        <w:pStyle w:val="Normal"/>
        <w:ind w:hanging="2160" w:start="2160" w:end="0"/>
        <w:jc w:val="both"/>
        <w:rPr/>
      </w:pPr>
      <w:r>
        <w:rPr/>
        <w:t>Fees:</w:t>
        <w:tab/>
        <w:t xml:space="preserve">EPMI will be paid a </w:t>
      </w:r>
      <w:r>
        <w:rPr>
          <w:b/>
          <w:bCs/>
        </w:rPr>
        <w:t>“</w:t>
      </w:r>
      <w:r>
        <w:rPr/>
        <w:t>up-front</w:t>
      </w:r>
      <w:r>
        <w:rPr>
          <w:b/>
          <w:bCs/>
        </w:rPr>
        <w:t>”</w:t>
      </w:r>
      <w:r>
        <w:rPr/>
        <w:t xml:space="preserve"> fee of 5% of the Covered Debt.  The up-front fee will be paid as a 0.5% non-refundable deposit upon closing of the CPMC with the balance due on the closing of the sale of the Covered Debt.  During the period if any that CPMC Obligations are outstanding, EPMI will receive an additional fee of $0.25 per kw per month on the entire capacity of CCC.</w:t>
      </w:r>
    </w:p>
    <w:p>
      <w:pPr>
        <w:pStyle w:val="Normal"/>
        <w:jc w:val="both"/>
        <w:rPr/>
      </w:pPr>
      <w:r>
        <w:rPr/>
      </w:r>
    </w:p>
    <w:p>
      <w:pPr>
        <w:pStyle w:val="BodyTextIndent"/>
        <w:widowControl/>
        <w:jc w:val="both"/>
        <w:rPr/>
      </w:pPr>
      <w:r>
        <w:rPr/>
        <w:t>Termination:</w:t>
        <w:tab/>
        <w:t>CCC may, at its option, terminate the CPMC at any time by paying EPMI a termination fee of  0.5% of Covered Debt.</w:t>
      </w:r>
    </w:p>
    <w:p>
      <w:pPr>
        <w:pStyle w:val="Normal"/>
        <w:tabs>
          <w:tab w:val="clear" w:pos="720"/>
          <w:tab w:val="left" w:pos="5760" w:leader="none"/>
        </w:tabs>
        <w:ind w:hanging="2160" w:start="2160" w:end="0"/>
        <w:jc w:val="both"/>
        <w:rPr/>
      </w:pPr>
      <w:r>
        <w:rPr/>
      </w:r>
    </w:p>
    <w:p>
      <w:pPr>
        <w:pStyle w:val="Normal"/>
        <w:tabs>
          <w:tab w:val="clear" w:pos="720"/>
          <w:tab w:val="left" w:pos="2160" w:leader="none"/>
          <w:tab w:val="left" w:pos="3600" w:leader="none"/>
        </w:tabs>
        <w:ind w:hanging="2160" w:start="2160" w:end="0"/>
        <w:jc w:val="both"/>
        <w:rPr/>
      </w:pPr>
      <w:r>
        <w:rPr/>
        <w:t>Redemption:</w:t>
        <w:tab/>
        <w:t xml:space="preserve">During periods that the CPMC Obligations are outstanding or in the event EPMI (or its designee) acquires ownership of the Project, EPMI will have the right to purchase the Covered Debt at par without premium.       </w:t>
      </w:r>
    </w:p>
    <w:p>
      <w:pPr>
        <w:pStyle w:val="Normal"/>
        <w:tabs>
          <w:tab w:val="clear" w:pos="720"/>
          <w:tab w:val="left" w:pos="2160" w:leader="none"/>
          <w:tab w:val="left" w:pos="3600" w:leader="none"/>
        </w:tabs>
        <w:jc w:val="both"/>
        <w:rPr/>
      </w:pPr>
      <w:r>
        <w:rPr/>
      </w:r>
    </w:p>
    <w:p>
      <w:pPr>
        <w:pStyle w:val="Normal"/>
        <w:tabs>
          <w:tab w:val="clear" w:pos="720"/>
          <w:tab w:val="left" w:pos="5760" w:leader="none"/>
        </w:tabs>
        <w:ind w:hanging="2160" w:start="2160" w:end="0"/>
        <w:jc w:val="both"/>
        <w:rPr/>
      </w:pPr>
      <w:r>
        <w:rPr/>
        <w:t>Required Reserves:</w:t>
        <w:tab/>
        <w:t>CCC will be required to fund and maintain throughout the Term a debt service reserve equal to the maximum 6-months principal and interest due on the Covered Debt.</w:t>
      </w:r>
    </w:p>
    <w:p>
      <w:pPr>
        <w:pStyle w:val="Normal"/>
        <w:ind w:hanging="2160" w:start="2160" w:end="0"/>
        <w:jc w:val="both"/>
        <w:rPr/>
      </w:pPr>
      <w:r>
        <w:rPr/>
      </w:r>
    </w:p>
    <w:p>
      <w:pPr>
        <w:pStyle w:val="Normal"/>
        <w:ind w:hanging="2160" w:start="2160" w:end="0"/>
        <w:jc w:val="both"/>
        <w:rPr/>
      </w:pPr>
      <w:r>
        <w:rPr/>
        <w:t>Working Capital:</w:t>
        <w:tab/>
        <w:t>CCC will be required to fund and maintain throughout the Term a working capital account equal to 6-months fuel, VOM and FOM expenses.</w:t>
      </w:r>
    </w:p>
    <w:p>
      <w:pPr>
        <w:pStyle w:val="Normal"/>
        <w:ind w:hanging="2160" w:start="2160" w:end="0"/>
        <w:jc w:val="both"/>
        <w:rPr/>
      </w:pPr>
      <w:r>
        <w:rPr/>
      </w:r>
    </w:p>
    <w:p>
      <w:pPr>
        <w:pStyle w:val="Normal"/>
        <w:tabs>
          <w:tab w:val="clear" w:pos="720"/>
          <w:tab w:val="left" w:pos="2160" w:leader="none"/>
          <w:tab w:val="left" w:pos="3600" w:leader="none"/>
        </w:tabs>
        <w:ind w:hanging="2160" w:start="2160" w:end="0"/>
        <w:jc w:val="both"/>
        <w:rPr/>
      </w:pPr>
      <w:r>
        <w:rPr/>
        <w:t>Flow of funds:</w:t>
        <w:tab/>
        <w:t>Each month, revenues are deposited in the following order of priority:  Covered Debt service account, CPMC Obligations repayment account, fuel expense account, VOM expense account, FOM expense account, required reserves replenishment account, equity distributions account.</w:t>
      </w:r>
    </w:p>
    <w:p>
      <w:pPr>
        <w:pStyle w:val="Normal"/>
        <w:jc w:val="both"/>
        <w:rPr/>
      </w:pPr>
      <w:r>
        <w:rPr/>
      </w:r>
    </w:p>
    <w:p>
      <w:pPr>
        <w:pStyle w:val="Normal"/>
        <w:tabs>
          <w:tab w:val="clear" w:pos="720"/>
          <w:tab w:val="left" w:pos="2160" w:leader="none"/>
          <w:tab w:val="left" w:pos="3600" w:leader="none"/>
        </w:tabs>
        <w:ind w:hanging="2160" w:start="2160" w:end="0"/>
        <w:jc w:val="both"/>
        <w:rPr/>
      </w:pPr>
      <w:r>
        <w:rPr/>
        <w:t>Equity Sweep:</w:t>
        <w:tab/>
        <w:t>Monthly withdrawal of cash flow available to equity beginning second year of operation, CCC not being in default of any of its obligations; the debt service and working capital reserves are fully funded; and subject to 12 month trailing average performance ratios to be established by Covered Debt.</w:t>
      </w:r>
    </w:p>
    <w:p>
      <w:pPr>
        <w:pStyle w:val="Normal"/>
        <w:jc w:val="both"/>
        <w:rPr/>
      </w:pPr>
      <w:r>
        <w:rPr/>
      </w:r>
    </w:p>
    <w:p>
      <w:pPr>
        <w:pStyle w:val="Normal"/>
        <w:ind w:hanging="2160" w:start="2160" w:end="0"/>
        <w:jc w:val="both"/>
        <w:rPr/>
      </w:pPr>
      <w:r>
        <w:rPr/>
        <w:t>CCC Covenants:</w:t>
        <w:tab/>
        <w:t>Usual and customary representations, warranties and covenants for a project of this nature.</w:t>
      </w:r>
    </w:p>
    <w:p>
      <w:pPr>
        <w:pStyle w:val="Normal"/>
        <w:jc w:val="both"/>
        <w:rPr/>
      </w:pPr>
      <w:r>
        <w:rPr/>
      </w:r>
    </w:p>
    <w:p>
      <w:pPr>
        <w:pStyle w:val="Normal"/>
        <w:ind w:hanging="2160" w:start="2160" w:end="0"/>
        <w:jc w:val="both"/>
        <w:rPr/>
      </w:pPr>
      <w:r>
        <w:rPr/>
        <w:t>Financial Reports:</w:t>
        <w:tab/>
        <w:t>CCC to furnish monthly financial statements and operating statements, and quarterly and annual audited financial statements.</w:t>
      </w:r>
    </w:p>
    <w:p>
      <w:pPr>
        <w:pStyle w:val="Normal"/>
        <w:jc w:val="both"/>
        <w:rPr/>
      </w:pPr>
      <w:r>
        <w:rPr/>
      </w:r>
    </w:p>
    <w:p>
      <w:pPr>
        <w:pStyle w:val="Normal"/>
        <w:ind w:hanging="2160" w:start="2160" w:end="0"/>
        <w:jc w:val="both"/>
        <w:rPr/>
      </w:pPr>
      <w:r>
        <w:rPr/>
        <w:t>Definitive Documents:</w:t>
        <w:tab/>
        <w:t>Closing subject to Definitive Documents including CPMC documents, security documents, indemnity agreements, subordination agreements, and other related agreements.</w:t>
      </w:r>
    </w:p>
    <w:p>
      <w:pPr>
        <w:pStyle w:val="Normal"/>
        <w:jc w:val="both"/>
        <w:rPr/>
      </w:pPr>
      <w:r>
        <w:rPr/>
      </w:r>
    </w:p>
    <w:p>
      <w:pPr>
        <w:pStyle w:val="Normal"/>
        <w:ind w:hanging="2160" w:start="2160" w:end="0"/>
        <w:jc w:val="both"/>
        <w:rPr/>
      </w:pPr>
      <w:r>
        <w:rPr/>
        <w:t>Covered Debt:</w:t>
        <w:tab/>
        <w:t>Closing subject to EPMI approval of Covered Debt and acceptable subordination agreement.</w:t>
      </w:r>
    </w:p>
    <w:p>
      <w:pPr>
        <w:pStyle w:val="Normal"/>
        <w:jc w:val="both"/>
        <w:rPr/>
      </w:pPr>
      <w:r>
        <w:rPr/>
      </w:r>
    </w:p>
    <w:p>
      <w:pPr>
        <w:pStyle w:val="Normal"/>
        <w:ind w:hanging="2160" w:start="2160" w:end="0"/>
        <w:jc w:val="both"/>
        <w:rPr/>
      </w:pPr>
      <w:r>
        <w:rPr/>
        <w:t>Third Party Contracts:</w:t>
        <w:tab/>
        <w:t>Closing subject to EPMI approval of third party contracts affecting the Project.</w:t>
      </w:r>
    </w:p>
    <w:p>
      <w:pPr>
        <w:pStyle w:val="Normal"/>
        <w:jc w:val="both"/>
        <w:rPr/>
      </w:pPr>
      <w:r>
        <w:rPr/>
      </w:r>
    </w:p>
    <w:p>
      <w:pPr>
        <w:pStyle w:val="Normal"/>
        <w:ind w:hanging="2160" w:start="2160" w:end="0"/>
        <w:jc w:val="both"/>
        <w:rPr/>
      </w:pPr>
      <w:r>
        <w:rPr/>
        <w:t xml:space="preserve">Due Diligence: </w:t>
        <w:tab/>
        <w:t>CCC to deliver to EPMI due diligence items regarding the Project as requested by EPMI.</w:t>
      </w:r>
    </w:p>
    <w:p>
      <w:pPr>
        <w:pStyle w:val="Normal"/>
        <w:jc w:val="both"/>
        <w:rPr/>
      </w:pPr>
      <w:r>
        <w:rPr/>
      </w:r>
    </w:p>
    <w:p>
      <w:pPr>
        <w:pStyle w:val="Normal"/>
        <w:ind w:hanging="2160" w:start="2160" w:end="0"/>
        <w:jc w:val="both"/>
        <w:rPr/>
      </w:pPr>
      <w:r>
        <w:rPr/>
        <w:t>Fees and Expenses:</w:t>
        <w:tab/>
        <w:t>CCC to pay at the closing of the sale of Covered Debt all fees and expenses of EPMI, including third party fees and expenses, title insurance, fees and expenses of outside counsel and other third party consultants.</w:t>
      </w:r>
    </w:p>
    <w:p>
      <w:pPr>
        <w:pStyle w:val="Normal"/>
        <w:jc w:val="both"/>
        <w:rPr/>
      </w:pPr>
      <w:r>
        <w:rPr/>
      </w:r>
    </w:p>
    <w:p>
      <w:pPr>
        <w:pStyle w:val="Normal"/>
        <w:tabs>
          <w:tab w:val="clear" w:pos="720"/>
          <w:tab w:val="left" w:pos="2160" w:leader="none"/>
          <w:tab w:val="left" w:pos="3600" w:leader="none"/>
        </w:tabs>
        <w:ind w:hanging="2160" w:start="2160" w:end="0"/>
        <w:jc w:val="both"/>
        <w:rPr/>
      </w:pPr>
      <w:r>
        <w:rPr/>
        <w:t>Insurance:</w:t>
        <w:tab/>
        <w:t>Usual and customary insurance coverage including business interruption insurance and/or unit outage insurance sufficient to pay debt service, FOM, VOM and any market based liquidated damages owed during periods of forced outages.</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ENA/DMB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at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rFonts w:ascii="Times" w:hAnsi="Times" w:eastAsia="Times" w:cs="Times"/>
      <w:b/>
      <w:bC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ind w:hanging="2160" w:start="2160" w:end="0"/>
    </w:pPr>
    <w:rPr>
      <w:rFonts w:ascii="Times" w:hAnsi="Times" w:eastAsia="Times" w:cs="Times"/>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1999-12-08T15:36:00Z</dcterms:created>
  <dc:creator>ECT</dc:creator>
  <dc:description/>
  <dc:language>en-CA</dc:language>
  <cp:lastModifiedBy>ECT</cp:lastModifiedBy>
  <cp:lastPrinted>1999-12-08T15:37:00Z</cp:lastPrinted>
  <dcterms:modified xsi:type="dcterms:W3CDTF">1999-12-08T19:46:00Z</dcterms:modified>
  <cp:revision>19</cp:revision>
  <dc:subject/>
  <dc:title>TECO/Mosbacher Delmarva Peninsula Deal (the "Project")</dc:title>
</cp:coreProperties>
</file>