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bookmarkStart w:id="0" w:name="_DV_M0"/>
      <w:bookmarkEnd w:id="0"/>
      <w:r>
        <w:rPr>
          <w:b/>
        </w:rPr>
        <w:t>SECOND AMENDMENT TO</w:t>
      </w:r>
    </w:p>
    <w:p>
      <w:pPr>
        <w:pStyle w:val="BodyText"/>
        <w:spacing w:before="0" w:after="0"/>
        <w:jc w:val="center"/>
        <w:rPr>
          <w:b/>
        </w:rPr>
      </w:pPr>
      <w:bookmarkStart w:id="1" w:name="_DV_M1"/>
      <w:bookmarkEnd w:id="1"/>
      <w:r>
        <w:rPr>
          <w:b/>
        </w:rPr>
        <w:t>MASTER NETTING AGREEMENT</w:t>
      </w:r>
    </w:p>
    <w:p>
      <w:pPr>
        <w:pStyle w:val="BodyText"/>
        <w:spacing w:before="0" w:after="0"/>
        <w:jc w:val="center"/>
        <w:rPr>
          <w:b/>
        </w:rPr>
      </w:pPr>
      <w:r>
        <w:rPr>
          <w:b/>
        </w:rPr>
      </w:r>
    </w:p>
    <w:p>
      <w:pPr>
        <w:pStyle w:val="BodyText"/>
        <w:rPr/>
      </w:pPr>
      <w:bookmarkStart w:id="2" w:name="_DV_M2"/>
      <w:bookmarkEnd w:id="2"/>
      <w:r>
        <w:rPr/>
        <w:t>This Second Amendment (“</w:t>
      </w:r>
      <w:r>
        <w:rPr>
          <w:u w:val="single"/>
        </w:rPr>
        <w:t>Second Amendment</w:t>
      </w:r>
      <w:r>
        <w:rPr/>
        <w:t>”) to Master Cross-Product Netting, Setoff, and Security Agreement is entered into effective as of October ____, 2001 by, between and among The New Power Company, a Delaware corporation (“</w:t>
      </w:r>
      <w:r>
        <w:rPr>
          <w:u w:val="single"/>
        </w:rPr>
        <w:t>New Power</w:t>
      </w:r>
      <w:r>
        <w:rPr/>
        <w:t>”), Enron North America Corp., a Delaware corporation (“</w:t>
      </w:r>
      <w:r>
        <w:rPr>
          <w:u w:val="single"/>
        </w:rPr>
        <w:t>ENA</w:t>
      </w:r>
      <w:r>
        <w:rPr/>
        <w:t>”), Enron Energy Services, Inc., a Delaware corporation (“</w:t>
      </w:r>
      <w:r>
        <w:rPr>
          <w:u w:val="single"/>
        </w:rPr>
        <w:t>EES</w:t>
      </w:r>
      <w:r>
        <w:rPr/>
        <w:t>”), and Enron Power Marketing, Inc., a Delaware corporation (together with ENA and EES collectively, the “</w:t>
      </w:r>
      <w:r>
        <w:rPr>
          <w:u w:val="single"/>
        </w:rPr>
        <w:t>Enron Parties</w:t>
      </w:r>
      <w:r>
        <w:rPr/>
        <w:t xml:space="preserve">”).  </w:t>
      </w:r>
    </w:p>
    <w:p>
      <w:pPr>
        <w:pStyle w:val="BodyText"/>
        <w:jc w:val="center"/>
        <w:rPr>
          <w:b/>
        </w:rPr>
      </w:pPr>
      <w:bookmarkStart w:id="3" w:name="_DV_M3"/>
      <w:bookmarkEnd w:id="3"/>
      <w:r>
        <w:rPr>
          <w:b/>
        </w:rPr>
        <w:t>RECITALS</w:t>
      </w:r>
    </w:p>
    <w:p>
      <w:pPr>
        <w:pStyle w:val="BodyTextFirstIndent"/>
        <w:spacing w:before="0" w:after="0"/>
        <w:ind w:hanging="0" w:end="0"/>
        <w:rPr/>
      </w:pPr>
      <w:bookmarkStart w:id="4" w:name="_DV_M4"/>
      <w:bookmarkEnd w:id="4"/>
      <w:r>
        <w:rPr/>
        <w:t>WHEREAS, New Power and the Enron Parties entered into that certain Master Cross-Product Netting, Setoff, and Security Agreement effective as of March 14, 2001, as amended by that certain First Amendment to Master Cross-Product Netting, Setoff, and Security Agreement effective as of May 4, 2001 (as amended, the “</w:t>
      </w:r>
      <w:r>
        <w:rPr>
          <w:u w:val="single"/>
        </w:rPr>
        <w:t>Master Netting Agreement</w:t>
      </w:r>
      <w:r>
        <w:rPr/>
        <w:t>”), copies of which are attached hereto marked Exhibit “A”, and which, among other things, provide substitute security margin under various commodity, forward and swap contracts (the “</w:t>
      </w:r>
      <w:r>
        <w:rPr>
          <w:u w:val="single"/>
        </w:rPr>
        <w:t>Underlying Master  Agreements</w:t>
      </w:r>
      <w:r>
        <w:rPr/>
        <w:t xml:space="preserve">”) between New Power and the Enron Parties; </w:t>
      </w:r>
    </w:p>
    <w:p>
      <w:pPr>
        <w:pStyle w:val="BodyTextFirstIndent"/>
        <w:spacing w:before="0" w:after="0"/>
        <w:ind w:hanging="0" w:end="0"/>
        <w:rPr/>
      </w:pPr>
      <w:r>
        <w:rPr/>
      </w:r>
    </w:p>
    <w:p>
      <w:pPr>
        <w:pStyle w:val="BodyTextFirstIndent"/>
        <w:spacing w:before="0" w:after="0"/>
        <w:ind w:hanging="0" w:end="0"/>
        <w:rPr/>
      </w:pPr>
      <w:bookmarkStart w:id="5" w:name="_DV_M5"/>
      <w:bookmarkEnd w:id="5"/>
      <w:r>
        <w:rPr/>
        <w:t>WHEREAS, since March 14, 2001, New Power and the Enron Parties have continued to enter into new transactions under the Underlying Master Agreements and to provide security margin payments in accordance with the requirements in the Master Netting Agreement, which amended the separate Collateral requirements under each Underlying Master Netting Agreement;</w:t>
      </w:r>
    </w:p>
    <w:p>
      <w:pPr>
        <w:pStyle w:val="BodyTextFirstIndent"/>
        <w:spacing w:before="0" w:after="0"/>
        <w:ind w:hanging="0" w:end="0"/>
        <w:rPr/>
      </w:pPr>
      <w:r>
        <w:rPr/>
      </w:r>
    </w:p>
    <w:p>
      <w:pPr>
        <w:pStyle w:val="BodyTextFirstIndent"/>
        <w:spacing w:before="0" w:after="0"/>
        <w:ind w:hanging="0" w:end="0"/>
        <w:rPr/>
      </w:pPr>
      <w:bookmarkStart w:id="6" w:name="_DV_M6"/>
      <w:bookmarkEnd w:id="6"/>
      <w:r>
        <w:rPr/>
        <w:t>WHEREAS, in accordance with the terms of the Master Netting Agreement, New Power has posted $109,300,000 of Collateral in the form of cash to the Enron Parties in order to satisfy New Power’s margin payment requirements to the Enron Parties;</w:t>
      </w:r>
    </w:p>
    <w:p>
      <w:pPr>
        <w:pStyle w:val="BodyTextFirstIndent"/>
        <w:spacing w:before="0" w:after="0"/>
        <w:ind w:hanging="0" w:end="0"/>
        <w:rPr/>
      </w:pPr>
      <w:r>
        <w:rPr/>
      </w:r>
    </w:p>
    <w:p>
      <w:pPr>
        <w:pStyle w:val="BodyTextFirstIndent"/>
        <w:spacing w:before="0" w:after="0"/>
        <w:ind w:hanging="0" w:end="0"/>
        <w:rPr/>
      </w:pPr>
      <w:bookmarkStart w:id="7" w:name="_DV_M7"/>
      <w:bookmarkEnd w:id="7"/>
      <w:r>
        <w:rPr/>
        <w:t>WHEREAS, pursuant to a letter dated September 26, 2001, and in accordance with the terms of the Master Netting Agreement, the Enron Parties have requested New Power to provide an additional $15,000,000 in Collateral to the Enron Parties;</w:t>
      </w:r>
    </w:p>
    <w:p>
      <w:pPr>
        <w:pStyle w:val="BodyTextFirstIndent"/>
        <w:spacing w:before="0" w:after="0"/>
        <w:ind w:hanging="0" w:end="0"/>
        <w:rPr/>
      </w:pPr>
      <w:r>
        <w:rPr/>
      </w:r>
    </w:p>
    <w:p>
      <w:pPr>
        <w:pStyle w:val="BodyTextFirstIndent"/>
        <w:spacing w:before="0" w:after="0"/>
        <w:ind w:hanging="0" w:end="0"/>
        <w:rPr/>
      </w:pPr>
      <w:bookmarkStart w:id="8" w:name="_DV_M8"/>
      <w:bookmarkEnd w:id="8"/>
      <w:r>
        <w:rPr/>
        <w:t>WHEREAS, New Power agrees (i) that such additional margin payment is due and owing to the Enron Parties under the terms of the Master Netting Agreement, (ii) that it has not yet made such margin payment, and (iii) that as a result of such non-payment, a Default on the part of New Power has occurred and is continuing to occur under the Master Netting Agreement; and</w:t>
      </w:r>
    </w:p>
    <w:p>
      <w:pPr>
        <w:pStyle w:val="BodyTextFirstIndent"/>
        <w:spacing w:before="0" w:after="0"/>
        <w:ind w:hanging="0" w:end="0"/>
        <w:rPr/>
      </w:pPr>
      <w:r>
        <w:rPr/>
      </w:r>
    </w:p>
    <w:p>
      <w:pPr>
        <w:pStyle w:val="BodyTextFirstIndent"/>
        <w:spacing w:before="0" w:after="0"/>
        <w:ind w:hanging="0" w:end="0"/>
        <w:rPr/>
      </w:pPr>
      <w:bookmarkStart w:id="9" w:name="_DV_M9"/>
      <w:bookmarkEnd w:id="9"/>
      <w:r>
        <w:rPr/>
        <w:t xml:space="preserve">WHEREAS, the Enron Parties have agreed to permit New Power to provide Collateral in a form other than cash under the Master Netting Agreement in order to permit New Power to cure its existing Default and to provide cash liquidity to New Power, all on the terms and conditions provided herein; </w:t>
      </w:r>
    </w:p>
    <w:p>
      <w:pPr>
        <w:pStyle w:val="BodyTextFirstIndent"/>
        <w:spacing w:before="0" w:after="0"/>
        <w:ind w:hanging="0" w:end="0"/>
        <w:rPr/>
      </w:pPr>
      <w:r>
        <w:rPr/>
      </w:r>
      <w:r>
        <w:br w:type="page"/>
      </w:r>
    </w:p>
    <w:p>
      <w:pPr>
        <w:pStyle w:val="BodyTextFirstIndent"/>
        <w:rPr/>
      </w:pPr>
      <w:bookmarkStart w:id="10" w:name="_DV_M10"/>
      <w:bookmarkEnd w:id="10"/>
      <w:r>
        <w:rPr/>
        <w:t>NOW THEREFORE, for and in consideration of the mutual agreements herein made and other good and valuable consideration, the receipt and sufficiency of which are hereby acknowledged, the Parties agree as follows:</w:t>
      </w:r>
    </w:p>
    <w:p>
      <w:pPr>
        <w:pStyle w:val="Heading1"/>
        <w:ind w:hanging="0" w:start="0"/>
        <w:rPr>
          <w:b/>
          <w:vanish/>
          <w:color w:val="FF0000"/>
        </w:rPr>
      </w:pPr>
      <w:bookmarkStart w:id="11" w:name="_DV_M11"/>
      <w:bookmarkEnd w:id="11"/>
      <w:r>
        <w:rPr>
          <w:b/>
        </w:rPr>
        <w:t>1.</w:t>
        <w:tab/>
        <w:t>Definitions.</w:t>
      </w:r>
    </w:p>
    <w:p>
      <w:pPr>
        <w:pStyle w:val="BodyText"/>
        <w:rPr>
          <w:color w:val="000000"/>
        </w:rPr>
      </w:pPr>
      <w:bookmarkStart w:id="12" w:name="_DV_M12"/>
      <w:bookmarkEnd w:id="12"/>
      <w:r>
        <w:rPr>
          <w:color w:val="000000"/>
        </w:rPr>
        <w:t xml:space="preserve">  </w:t>
      </w:r>
      <w:r>
        <w:rPr>
          <w:color w:val="000000"/>
        </w:rPr>
        <w:tab/>
      </w:r>
      <w:bookmarkStart w:id="13" w:name="_DV_M13"/>
      <w:bookmarkEnd w:id="13"/>
      <w:r>
        <w:rPr>
          <w:color w:val="000000"/>
        </w:rPr>
        <w:t>(a)</w:t>
        <w:tab/>
        <w:t>Defined terms used or incorporated by reference in this Second Amendment and not otherwise defined herein have the same meanings in this Amendment as given to them by the Master Netting Agreement.</w:t>
      </w:r>
    </w:p>
    <w:p>
      <w:pPr>
        <w:pStyle w:val="BodyText"/>
        <w:rPr>
          <w:color w:val="000000"/>
        </w:rPr>
      </w:pPr>
      <w:bookmarkStart w:id="14" w:name="_DV_M14"/>
      <w:bookmarkEnd w:id="14"/>
      <w:r>
        <w:rPr>
          <w:color w:val="000000"/>
        </w:rPr>
        <w:tab/>
        <w:t xml:space="preserve">(b)  </w:t>
        <w:tab/>
        <w:t>The definition of “Enron Affiliates” is hereby amended to exclude New Power, TNPC Holdings, Inc. and New Power Holdings, Inc. from the definition.  The definition of "New Power Affiliates" is hereby amended to exclude the Enron Parties, Enron Corp. and their respective subsidiaries from the definition.</w:t>
      </w:r>
    </w:p>
    <w:p>
      <w:pPr>
        <w:pStyle w:val="Heading2"/>
        <w:ind w:hanging="0" w:start="0"/>
        <w:rPr>
          <w:color w:val="000000"/>
        </w:rPr>
      </w:pPr>
      <w:bookmarkStart w:id="15" w:name="_DV_M15"/>
      <w:bookmarkEnd w:id="15"/>
      <w:r>
        <w:rPr>
          <w:color w:val="000000"/>
        </w:rPr>
        <w:tab/>
        <w:t>(c)</w:t>
        <w:tab/>
        <w:t>The following terms used in this Second Amendment are defined as follows:</w:t>
      </w:r>
    </w:p>
    <w:p>
      <w:pPr>
        <w:pStyle w:val="BodyTextFirstIndent"/>
        <w:rPr/>
      </w:pPr>
      <w:bookmarkStart w:id="16" w:name="_DV_M16"/>
      <w:bookmarkEnd w:id="16"/>
      <w:r>
        <w:rPr>
          <w:color w:val="000000"/>
        </w:rPr>
        <w:t xml:space="preserve"> “</w:t>
      </w:r>
      <w:r>
        <w:rPr>
          <w:color w:val="000000"/>
          <w:u w:val="single"/>
        </w:rPr>
        <w:t>Eligible Accounts</w:t>
      </w:r>
      <w:r>
        <w:rPr>
          <w:color w:val="000000"/>
        </w:rPr>
        <w:t xml:space="preserve">” shall mean bona fide accounts receivable of New Power in which the Enron Parties hold perfected first priority security interests, which have been billed by New Power directly to its customers (and not through utilities), which are not subject to setoff or any liens, claims or encumbrances (except in favor of the Enron Parties) and which are less than sixty-one (61) days after invoice date. </w:t>
      </w:r>
    </w:p>
    <w:p>
      <w:pPr>
        <w:pStyle w:val="BodyTextFirstIndent"/>
        <w:rPr>
          <w:color w:val="000000"/>
        </w:rPr>
      </w:pPr>
      <w:bookmarkStart w:id="17" w:name="_DV_M17"/>
      <w:bookmarkEnd w:id="17"/>
      <w:r>
        <w:rPr>
          <w:color w:val="000000"/>
        </w:rPr>
        <w:t>“</w:t>
      </w:r>
      <w:r>
        <w:rPr>
          <w:color w:val="000000"/>
          <w:u w:val="single"/>
        </w:rPr>
        <w:t>Eligible Natural Gas</w:t>
      </w:r>
      <w:r>
        <w:rPr>
          <w:color w:val="000000"/>
        </w:rPr>
        <w:t xml:space="preserve">” shall mean natural gas owned free and clear of any liens, claims or encumbrances (except in favor of the Enron Parties) by New Power in which the Enron Parties hold perfected first priority security interests.  The value of the Eligible Natural Gas shall be calculated by taking the sum of natural gas volumes in pipeline storage at the time of calculation times the </w:t>
      </w:r>
      <w:bookmarkStart w:id="18" w:name="_DV_C5"/>
      <w:r>
        <w:rPr>
          <w:rStyle w:val="DeltaViewDeletion"/>
        </w:rPr>
        <w:t>(BRADFORD DETERMINING INDEX) NYMEX forward price for that month calculated on the date of such report. [consider adding imbalance information to compliance certificate]</w:t>
      </w:r>
      <w:bookmarkStart w:id="19" w:name="_DV_C6"/>
      <w:bookmarkEnd w:id="18"/>
      <w:r>
        <w:rPr>
          <w:rStyle w:val="DeltaViewInsertion"/>
        </w:rPr>
        <w:t>prompt month futures contract as quoted by NYMEX.</w:t>
      </w:r>
      <w:bookmarkEnd w:id="19"/>
    </w:p>
    <w:p>
      <w:pPr>
        <w:pStyle w:val="BodyTextFirstIndent"/>
        <w:rPr>
          <w:color w:val="000000"/>
        </w:rPr>
      </w:pPr>
      <w:bookmarkStart w:id="20" w:name="_DV_C7"/>
      <w:r>
        <w:rPr>
          <w:rStyle w:val="DeltaViewDeletion"/>
        </w:rPr>
        <w:t>"</w:t>
      </w:r>
      <w:r>
        <w:rPr>
          <w:rStyle w:val="DeltaViewDeletion"/>
          <w:u w:val="single"/>
        </w:rPr>
        <w:t>Released Cash Collateral</w:t>
      </w:r>
      <w:r>
        <w:rPr>
          <w:rStyle w:val="DeltaViewDeletion"/>
        </w:rPr>
        <w:t>" has the meaning set forth in Section 2 (b) hereof.</w:t>
      </w:r>
      <w:bookmarkEnd w:id="20"/>
    </w:p>
    <w:p>
      <w:pPr>
        <w:pStyle w:val="BodyTextFirstIndent"/>
        <w:rPr/>
      </w:pPr>
      <w:bookmarkStart w:id="21" w:name="_DV_M18"/>
      <w:bookmarkEnd w:id="21"/>
      <w:r>
        <w:rPr>
          <w:color w:val="000000"/>
        </w:rPr>
        <w:t>“</w:t>
      </w:r>
      <w:r>
        <w:rPr>
          <w:color w:val="000000"/>
          <w:u w:val="single"/>
        </w:rPr>
        <w:t>Replacement Collateral</w:t>
      </w:r>
      <w:r>
        <w:rPr>
          <w:color w:val="000000"/>
        </w:rPr>
        <w:t>” has the meaning set forth in Section 2 (a) hereof.</w:t>
      </w:r>
    </w:p>
    <w:p>
      <w:pPr>
        <w:pStyle w:val="BodyTextFirstIndent"/>
        <w:rPr/>
      </w:pPr>
      <w:bookmarkStart w:id="22" w:name="_DV_M19"/>
      <w:bookmarkEnd w:id="22"/>
      <w:r>
        <w:rPr>
          <w:color w:val="000000"/>
        </w:rPr>
        <w:t>“</w:t>
      </w:r>
      <w:r>
        <w:rPr>
          <w:color w:val="000000"/>
          <w:u w:val="single"/>
        </w:rPr>
        <w:t>Replacement Collateral Period</w:t>
      </w:r>
      <w:r>
        <w:rPr>
          <w:color w:val="000000"/>
        </w:rPr>
        <w:t>” shall mean the period from the date of this Second Amendment through the earlier of (i) January 4, 2002, and (ii) the date any Default occurs by New Power under the Master Netting Agreement after giving effect to this Second Amendment.</w:t>
      </w:r>
    </w:p>
    <w:p>
      <w:pPr>
        <w:pStyle w:val="BodyTextFirstIndent"/>
        <w:rPr>
          <w:color w:val="000000"/>
        </w:rPr>
      </w:pPr>
      <w:bookmarkStart w:id="23" w:name="_DV_C8"/>
      <w:bookmarkStart w:id="24" w:name="_DV_IPM0"/>
      <w:bookmarkEnd w:id="24"/>
      <w:r>
        <w:rPr>
          <w:rStyle w:val="DeltaViewInsertion"/>
        </w:rPr>
        <w:t>"Returned Cash Collateral" has the meaning set forth in Section 2 (b) hereof.</w:t>
      </w:r>
      <w:bookmarkEnd w:id="23"/>
    </w:p>
    <w:p>
      <w:pPr>
        <w:pStyle w:val="BodyTextFirstIndent"/>
        <w:rPr/>
      </w:pPr>
      <w:bookmarkStart w:id="25" w:name="_DV_M20"/>
      <w:bookmarkEnd w:id="25"/>
      <w:r>
        <w:rPr>
          <w:color w:val="000000"/>
        </w:rPr>
        <w:t>“</w:t>
      </w:r>
      <w:r>
        <w:rPr>
          <w:color w:val="000000"/>
          <w:u w:val="single"/>
        </w:rPr>
        <w:t>Security Agreement</w:t>
      </w:r>
      <w:r>
        <w:rPr>
          <w:color w:val="000000"/>
        </w:rPr>
        <w:t>” has the meaning set forth in Section 2 (e) hereof.</w:t>
      </w:r>
    </w:p>
    <w:p>
      <w:pPr>
        <w:pStyle w:val="Normal"/>
        <w:suppressAutoHyphens w:val="true"/>
        <w:rPr/>
      </w:pPr>
      <w:bookmarkStart w:id="26" w:name="_DV_M21"/>
      <w:bookmarkEnd w:id="26"/>
      <w:r>
        <w:rPr>
          <w:color w:val="000000"/>
        </w:rPr>
        <w:tab/>
        <w:tab/>
        <w:t>"</w:t>
      </w:r>
      <w:r>
        <w:rPr>
          <w:color w:val="000000"/>
          <w:u w:val="single"/>
        </w:rPr>
        <w:t>Substitution Amount</w:t>
      </w:r>
      <w:r>
        <w:rPr>
          <w:color w:val="000000"/>
        </w:rPr>
        <w:t>" has the meaning set forth in Section 2 (a) hereof.</w:t>
      </w:r>
    </w:p>
    <w:p>
      <w:pPr>
        <w:pStyle w:val="Heading1"/>
        <w:ind w:hanging="0" w:start="0"/>
        <w:rPr>
          <w:b/>
          <w:vanish/>
          <w:color w:val="FF0000"/>
        </w:rPr>
      </w:pPr>
      <w:bookmarkStart w:id="27" w:name="_DV_M22"/>
      <w:bookmarkEnd w:id="27"/>
      <w:r>
        <w:rPr>
          <w:b/>
          <w:color w:val="000000"/>
        </w:rPr>
        <w:t>2.</w:t>
        <w:tab/>
        <w:t>Replacement Collateral.</w:t>
      </w:r>
    </w:p>
    <w:p>
      <w:pPr>
        <w:pStyle w:val="BodyText"/>
        <w:rPr/>
      </w:pPr>
      <w:bookmarkStart w:id="28" w:name="_DV_M23"/>
      <w:bookmarkEnd w:id="28"/>
      <w:r>
        <w:rPr>
          <w:color w:val="000000"/>
        </w:rPr>
        <w:tab/>
        <w:t>(a)</w:t>
        <w:tab/>
        <w:t>During the Replacement Collateral Period</w:t>
      </w:r>
      <w:bookmarkStart w:id="29" w:name="_DV_C9"/>
      <w:r>
        <w:rPr>
          <w:rStyle w:val="DeltaViewInsertion"/>
        </w:rPr>
        <w:t xml:space="preserve"> and so long as no Default exists under the Master Netting Agreement or the Security Agreement</w:t>
      </w:r>
      <w:bookmarkStart w:id="30" w:name="_DV_M24"/>
      <w:bookmarkEnd w:id="29"/>
      <w:bookmarkEnd w:id="30"/>
      <w:r>
        <w:rPr>
          <w:color w:val="000000"/>
        </w:rPr>
        <w:t>, New Power may substitute Eligible Accounts and Eligible Natural Gas (collectively, “</w:t>
      </w:r>
      <w:r>
        <w:rPr>
          <w:color w:val="000000"/>
          <w:u w:val="single"/>
        </w:rPr>
        <w:t>Replacement Collateral</w:t>
      </w:r>
      <w:r>
        <w:rPr>
          <w:color w:val="000000"/>
        </w:rPr>
        <w:t xml:space="preserve">”) for cash Collateral currently held by the Enron Parties in a total amount up to but not exceeding </w:t>
      </w:r>
      <w:bookmarkStart w:id="31" w:name="_DV_C10"/>
      <w:r>
        <w:rPr>
          <w:rStyle w:val="DeltaViewDeletion"/>
        </w:rPr>
        <w:t xml:space="preserve">to </w:t>
      </w:r>
      <w:bookmarkStart w:id="32" w:name="_DV_M25"/>
      <w:bookmarkEnd w:id="31"/>
      <w:bookmarkEnd w:id="32"/>
      <w:r>
        <w:rPr>
          <w:color w:val="000000"/>
        </w:rPr>
        <w:t>the lesser of (i) $40,000,000 and (ii) the sum of 85% of Eligible Accounts and 50% of Eligible Natural Gas (the “</w:t>
      </w:r>
      <w:r>
        <w:rPr>
          <w:color w:val="000000"/>
          <w:u w:val="single"/>
        </w:rPr>
        <w:t>Substitution Amount</w:t>
      </w:r>
      <w:r>
        <w:rPr>
          <w:color w:val="000000"/>
        </w:rPr>
        <w:t>")</w:t>
      </w:r>
      <w:bookmarkStart w:id="33" w:name="_DV_C11"/>
      <w:r>
        <w:rPr>
          <w:rStyle w:val="DeltaViewInsertion"/>
        </w:rPr>
        <w:t>.  During the month of October 2001, NewPower may substitute no more than $20,000,000 in Replacement Collateral for Returned Cash Collateral</w:t>
      </w:r>
      <w:bookmarkStart w:id="34" w:name="_DV_M26"/>
      <w:bookmarkEnd w:id="33"/>
      <w:bookmarkEnd w:id="34"/>
      <w:r>
        <w:rPr>
          <w:color w:val="000000"/>
        </w:rPr>
        <w:t>.  The Parties expressly acknowledge and agree that the Substitution Amount of Replacement Collateral, as determined from time to time pursuant to the terms hereof, shall constitute acceptable Collateral for the obligations of New Power under the Master Netting Agreement during the Replacement Collateral Period.  At no time during the Replacement Collateral Period shall the Enron Parties be obligated to release any cash Collateral to New Power that would result in New Power having posted cash Collateral to the Enron Parties of less than $70,000,000 unless New Power’s Collateral requirement under the Master Netting Agreement is less than such amount, in which case all of New Power’s Collateral posted to the Enron Parties shall be provided in cash.</w:t>
      </w:r>
    </w:p>
    <w:p>
      <w:pPr>
        <w:pStyle w:val="BodyText"/>
        <w:rPr/>
      </w:pPr>
      <w:bookmarkStart w:id="35" w:name="_DV_M27"/>
      <w:bookmarkEnd w:id="35"/>
      <w:r>
        <w:rPr>
          <w:color w:val="000000"/>
        </w:rPr>
        <w:tab/>
        <w:t>(b)</w:t>
        <w:tab/>
        <w:t>New Power covenants that it shall deliver to the Enron Parties, on each Business Day, a certificate of a responsible officer of New Power (a "</w:t>
      </w:r>
      <w:r>
        <w:rPr>
          <w:color w:val="000000"/>
          <w:u w:val="single"/>
        </w:rPr>
        <w:t>Replacement Collateral Certificate</w:t>
      </w:r>
      <w:r>
        <w:rPr>
          <w:color w:val="000000"/>
        </w:rPr>
        <w:t>") (i) certifying the Substitution Amount, the amount of cash Collateral and Replacement Collateral posted to the Enron Parties hereunder, the absence of Default under the Master Netting Agreement and a listing of the amounts of all cash deposits or collateral deposited or posted with any third party, and (ii) containing a daily cash forecast for the current month and the subsequent month.  The Replacement Collateral Certificate shall be substantially in the form attached hereto as Exhibit "B".  Within two (2) Business Days of the Enron Parties receipt of a Replacement Collateral Certificate from New Power</w:t>
      </w:r>
      <w:bookmarkStart w:id="36" w:name="_DV_C12"/>
      <w:r>
        <w:rPr>
          <w:rStyle w:val="DeltaViewInsertion"/>
        </w:rPr>
        <w:t xml:space="preserve"> and provided that no Default under the Master Netting Agreement then exists</w:t>
      </w:r>
      <w:bookmarkStart w:id="37" w:name="_DV_M28"/>
      <w:bookmarkEnd w:id="36"/>
      <w:bookmarkEnd w:id="37"/>
      <w:r>
        <w:rPr>
          <w:color w:val="000000"/>
        </w:rPr>
        <w:t>, the Enron Parties shall release any excess cash Collateral to New Power under the terms and conditions provided herein (“</w:t>
      </w:r>
      <w:r>
        <w:rPr>
          <w:color w:val="000000"/>
          <w:u w:val="single"/>
        </w:rPr>
        <w:t>Released Cash Collateral</w:t>
      </w:r>
      <w:r>
        <w:rPr>
          <w:color w:val="000000"/>
        </w:rPr>
        <w:t>”)</w:t>
      </w:r>
      <w:bookmarkStart w:id="38" w:name="_DV_C13"/>
      <w:r>
        <w:rPr>
          <w:rStyle w:val="DeltaViewInsertion"/>
        </w:rPr>
        <w:t>; provided, however, if the most recent Replacement Collateral Certificate from NewPower would require the Enron Parties to return a lesser amount of cash Collateral, then the Enron Parties shall be obligated to return only such lesser amount</w:t>
      </w:r>
      <w:bookmarkStart w:id="39" w:name="_DV_M29"/>
      <w:bookmarkEnd w:id="38"/>
      <w:bookmarkEnd w:id="39"/>
      <w:r>
        <w:rPr>
          <w:color w:val="000000"/>
        </w:rPr>
        <w:t>.  Any determination of the Substitution Amount shall be made as of the date specified and shall be without prejudice to any Party thereafter to seek additional Collateral or the return of Collateral in accordance with the terms of the Master Netting Agreement as amended by this Second Amendment, provided that any subsequent return(s) of any excess Collateral shall first be of Replacement Collateral and then of cash posted as Collateral under the Master Netting Agreement.</w:t>
      </w:r>
    </w:p>
    <w:p>
      <w:pPr>
        <w:pStyle w:val="Heading2"/>
        <w:ind w:hanging="0" w:start="0"/>
        <w:rPr/>
      </w:pPr>
      <w:bookmarkStart w:id="40" w:name="_DV_M30"/>
      <w:bookmarkEnd w:id="40"/>
      <w:r>
        <w:rPr>
          <w:color w:val="000000"/>
        </w:rPr>
        <w:tab/>
        <w:t>(c)</w:t>
        <w:tab/>
        <w:t xml:space="preserve">New Power covenants and agrees to use the </w:t>
      </w:r>
      <w:bookmarkStart w:id="41" w:name="_DV_C14"/>
      <w:r>
        <w:rPr>
          <w:rStyle w:val="DeltaViewDeletion"/>
        </w:rPr>
        <w:t>Released</w:t>
      </w:r>
      <w:bookmarkStart w:id="42" w:name="_DV_C15"/>
      <w:bookmarkEnd w:id="41"/>
      <w:r>
        <w:rPr>
          <w:rStyle w:val="DeltaViewInsertion"/>
        </w:rPr>
        <w:t>Returned</w:t>
      </w:r>
      <w:bookmarkStart w:id="43" w:name="_DV_M31"/>
      <w:bookmarkEnd w:id="42"/>
      <w:bookmarkEnd w:id="43"/>
      <w:r>
        <w:rPr>
          <w:color w:val="000000"/>
        </w:rPr>
        <w:t xml:space="preserve"> Cash Collateral to pay its obligations in the ordinary course of its business </w:t>
      </w:r>
      <w:bookmarkStart w:id="44" w:name="_DV_C16"/>
      <w:r>
        <w:rPr>
          <w:rStyle w:val="DeltaViewDeletion"/>
        </w:rPr>
        <w:t xml:space="preserve">[or as may be otherwise agreed in writing between New Power </w:t>
      </w:r>
      <w:bookmarkStart w:id="45" w:name="_DV_M32"/>
      <w:bookmarkEnd w:id="44"/>
      <w:bookmarkEnd w:id="45"/>
      <w:r>
        <w:rPr>
          <w:color w:val="000000"/>
        </w:rPr>
        <w:t xml:space="preserve">and </w:t>
      </w:r>
      <w:bookmarkStart w:id="46" w:name="_DV_C17"/>
      <w:r>
        <w:rPr>
          <w:rStyle w:val="DeltaViewDeletion"/>
        </w:rPr>
        <w:t>the Enron Parties][this conflicts with the next sentence]</w:t>
      </w:r>
      <w:bookmarkStart w:id="47" w:name="_DV_C18"/>
      <w:bookmarkEnd w:id="46"/>
      <w:r>
        <w:rPr>
          <w:rStyle w:val="DeltaViewInsertion"/>
        </w:rPr>
        <w:t>for no other purpose</w:t>
      </w:r>
      <w:bookmarkStart w:id="48" w:name="_DV_M33"/>
      <w:bookmarkEnd w:id="47"/>
      <w:bookmarkEnd w:id="48"/>
      <w:r>
        <w:rPr>
          <w:color w:val="000000"/>
        </w:rPr>
        <w:t xml:space="preserve">.  No such </w:t>
      </w:r>
      <w:bookmarkStart w:id="49" w:name="_DV_C19"/>
      <w:r>
        <w:rPr>
          <w:rStyle w:val="DeltaViewDeletion"/>
        </w:rPr>
        <w:t>Released Cash</w:t>
      </w:r>
      <w:bookmarkStart w:id="50" w:name="_DV_C20"/>
      <w:bookmarkEnd w:id="49"/>
      <w:r>
        <w:rPr>
          <w:rStyle w:val="DeltaViewInsertion"/>
        </w:rPr>
        <w:t>cash</w:t>
      </w:r>
      <w:bookmarkStart w:id="51" w:name="_DV_M34"/>
      <w:bookmarkEnd w:id="50"/>
      <w:bookmarkEnd w:id="51"/>
      <w:r>
        <w:rPr>
          <w:color w:val="000000"/>
        </w:rPr>
        <w:t xml:space="preserve"> Collateral shall be utilized to fund costs or expenses incurred outside the ordinary course of New Power’s normal business operations, including, without limitation, payment of dividends, payment of prepay obligations, </w:t>
      </w:r>
      <w:bookmarkStart w:id="52" w:name="_DV_C21"/>
      <w:r>
        <w:rPr>
          <w:rStyle w:val="DeltaViewDeletion"/>
        </w:rPr>
        <w:t xml:space="preserve">posting of cash deposits or collateral to third parties, </w:t>
      </w:r>
      <w:bookmarkStart w:id="53" w:name="_DV_M35"/>
      <w:bookmarkEnd w:id="52"/>
      <w:bookmarkEnd w:id="53"/>
      <w:r>
        <w:rPr>
          <w:color w:val="000000"/>
        </w:rPr>
        <w:t xml:space="preserve">making loans or advances to employees other than ordinary travel advances or the like, </w:t>
      </w:r>
      <w:bookmarkStart w:id="54" w:name="_DV_C22"/>
      <w:r>
        <w:rPr>
          <w:rStyle w:val="DeltaViewInsertion"/>
        </w:rPr>
        <w:t xml:space="preserve">and </w:t>
      </w:r>
      <w:bookmarkStart w:id="55" w:name="_DV_M36"/>
      <w:bookmarkEnd w:id="54"/>
      <w:bookmarkEnd w:id="55"/>
      <w:r>
        <w:rPr>
          <w:color w:val="000000"/>
        </w:rPr>
        <w:t>funding employee parachute or severance agreements</w:t>
      </w:r>
      <w:bookmarkStart w:id="56" w:name="_DV_C23"/>
      <w:r>
        <w:rPr>
          <w:rStyle w:val="DeltaViewDeletion"/>
        </w:rPr>
        <w:t>, or making</w:t>
      </w:r>
      <w:bookmarkStart w:id="57" w:name="_DV_C24"/>
      <w:bookmarkEnd w:id="56"/>
      <w:r>
        <w:rPr>
          <w:rStyle w:val="DeltaViewInsertion"/>
        </w:rPr>
        <w:t>.  NewPower shall have the right to use the Returned Cash Collateral to make (i)</w:t>
      </w:r>
      <w:bookmarkStart w:id="58" w:name="_DV_M37"/>
      <w:bookmarkEnd w:id="57"/>
      <w:bookmarkEnd w:id="58"/>
      <w:r>
        <w:rPr>
          <w:color w:val="000000"/>
        </w:rPr>
        <w:t xml:space="preserve"> expenditures in connection with any acquisition </w:t>
      </w:r>
      <w:bookmarkStart w:id="59" w:name="_DV_C25"/>
      <w:r>
        <w:rPr>
          <w:rStyle w:val="DeltaViewDeletion"/>
        </w:rPr>
        <w:t>unless</w:t>
      </w:r>
      <w:bookmarkStart w:id="60" w:name="_DV_C26"/>
      <w:bookmarkEnd w:id="59"/>
      <w:r>
        <w:rPr>
          <w:rStyle w:val="DeltaViewInsertion"/>
        </w:rPr>
        <w:t>if and only if such actions are</w:t>
      </w:r>
      <w:bookmarkStart w:id="61" w:name="_DV_M38"/>
      <w:bookmarkEnd w:id="60"/>
      <w:bookmarkEnd w:id="61"/>
      <w:r>
        <w:rPr>
          <w:color w:val="000000"/>
        </w:rPr>
        <w:t xml:space="preserve"> approved in advance by not less than 70% of the Directors of New Power Holdings, Inc. then in office, either by written consent (for which all Directors shall receive at least three Business Days' prior notice) in lieu of a meeting or at a duly called meeting of the Board of Directors</w:t>
      </w:r>
      <w:bookmarkStart w:id="62" w:name="_DV_C27"/>
      <w:r>
        <w:rPr>
          <w:rStyle w:val="DeltaViewInsertion"/>
        </w:rPr>
        <w:t>, and (ii) to make margin payments to third parties; provided, however, in no event shall New Power use in excess of $5,000,000 of the Returned Cash Collateral to make such payments to third parties</w:t>
      </w:r>
      <w:bookmarkStart w:id="63" w:name="_DV_M39"/>
      <w:bookmarkEnd w:id="62"/>
      <w:bookmarkEnd w:id="63"/>
      <w:r>
        <w:rPr>
          <w:color w:val="000000"/>
        </w:rPr>
        <w:t>.</w:t>
      </w:r>
    </w:p>
    <w:p>
      <w:pPr>
        <w:pStyle w:val="Heading2"/>
        <w:ind w:hanging="0" w:start="0"/>
        <w:rPr>
          <w:color w:val="000000"/>
        </w:rPr>
      </w:pPr>
      <w:bookmarkStart w:id="64" w:name="_DV_M40"/>
      <w:bookmarkEnd w:id="64"/>
      <w:r>
        <w:rPr>
          <w:color w:val="000000"/>
        </w:rPr>
        <w:tab/>
        <w:t>(d)</w:t>
        <w:tab/>
        <w:t>On or before the expiration of the Replacement Collateral Period, New Power shall have the right to provide cash or other Collateral meeting the requirements under the Master Netting Agreement (without giving effect to this Second Amendment) in replacement for the Replacement Collateral.  The right of New Power to provide Replacement Collateral shall terminate at the expiration of the Replacement Collateral Period.  Upon expiration of the Replacement Collateral Period, New Power shall immediately provide cash or other Collateral meeting the requirements of the Master Netting Agreement (without giving effect to this Second Amendment).  The Enron Parties shall not be obligated to release any Replacement Collateral unless and until New Power shall have provided all Collateral to the Enron Parties in accordance with the terms of the Master Netting Agreement (without giving effect to this Second Amendment).</w:t>
      </w:r>
    </w:p>
    <w:p>
      <w:pPr>
        <w:pStyle w:val="Heading2"/>
        <w:ind w:hanging="0" w:start="0"/>
        <w:rPr/>
      </w:pPr>
      <w:bookmarkStart w:id="65" w:name="_DV_M41"/>
      <w:bookmarkEnd w:id="65"/>
      <w:r>
        <w:rPr>
          <w:color w:val="000000"/>
        </w:rPr>
        <w:t xml:space="preserve"> </w:t>
      </w:r>
      <w:r>
        <w:rPr>
          <w:color w:val="000000"/>
        </w:rPr>
        <w:tab/>
        <w:t>(e)</w:t>
        <w:tab/>
        <w:t>Contemporaneously with the execution of this Second Amendment, New Power is executing that certain General Security Agreement dated of even date herewith (the “</w:t>
      </w:r>
      <w:r>
        <w:rPr>
          <w:color w:val="000000"/>
          <w:u w:val="single"/>
        </w:rPr>
        <w:t>Security Agreement</w:t>
      </w:r>
      <w:r>
        <w:rPr>
          <w:color w:val="000000"/>
        </w:rPr>
        <w:t xml:space="preserve">”) in favor of the Enron Parties granting a securing interest in and lien upon all assets of New Power, including, without limitation, all Accounts, </w:t>
      </w:r>
      <w:bookmarkStart w:id="66" w:name="_DV_C28"/>
      <w:r>
        <w:rPr>
          <w:rStyle w:val="DeltaViewInsertion"/>
        </w:rPr>
        <w:t xml:space="preserve">and </w:t>
      </w:r>
      <w:bookmarkStart w:id="67" w:name="_DV_M42"/>
      <w:bookmarkEnd w:id="66"/>
      <w:bookmarkEnd w:id="67"/>
      <w:r>
        <w:rPr>
          <w:color w:val="000000"/>
        </w:rPr>
        <w:t>Inventory</w:t>
      </w:r>
      <w:bookmarkStart w:id="68" w:name="_DV_C29"/>
      <w:r>
        <w:rPr>
          <w:rStyle w:val="DeltaViewDeletion"/>
        </w:rPr>
        <w:t>, Goods, Equipment, Documents, Chattel Paper and General Intangibles</w:t>
      </w:r>
      <w:bookmarkStart w:id="69" w:name="_DV_M43"/>
      <w:bookmarkEnd w:id="68"/>
      <w:bookmarkEnd w:id="69"/>
      <w:r>
        <w:rPr>
          <w:color w:val="000000"/>
        </w:rPr>
        <w:t xml:space="preserve"> as defined under the Uniform Commercial Code as enacted by the State of New York, in consideration of the Enron Parties’ agreement herein to accept Replacement Collateral in order to permit New Power to cure its existing Default under the Master Netting Agreement.</w:t>
      </w:r>
    </w:p>
    <w:p>
      <w:pPr>
        <w:pStyle w:val="Heading1"/>
        <w:ind w:hanging="0" w:start="0"/>
        <w:rPr>
          <w:b/>
          <w:color w:val="000000"/>
        </w:rPr>
      </w:pPr>
      <w:bookmarkStart w:id="70" w:name="_DV_M44"/>
      <w:bookmarkEnd w:id="70"/>
      <w:r>
        <w:rPr>
          <w:b/>
          <w:color w:val="000000"/>
        </w:rPr>
        <w:t>3.</w:t>
        <w:tab/>
        <w:t>Amendment to Definition of Default.</w:t>
      </w:r>
      <w:r>
        <w:rPr>
          <w:color w:val="000000"/>
        </w:rPr>
        <w:t xml:space="preserve">  Section 2(a) (iii) of the Master Netting Agreement is hereby amended by deleting the word “hereunder” and adding the clause “under this Master Netting Agreement, as amended</w:t>
      </w:r>
      <w:bookmarkStart w:id="71" w:name="_DV_C30"/>
      <w:r>
        <w:rPr>
          <w:rStyle w:val="DeltaViewInsertion"/>
        </w:rPr>
        <w:t xml:space="preserve"> by the First Amendment and the Second Amendment</w:t>
      </w:r>
      <w:bookmarkStart w:id="72" w:name="_DV_M45"/>
      <w:bookmarkEnd w:id="71"/>
      <w:bookmarkEnd w:id="72"/>
      <w:r>
        <w:rPr>
          <w:color w:val="000000"/>
        </w:rPr>
        <w:t>, or an Event of Default has occurred and is continuing under the Security Agreement.”</w:t>
      </w:r>
    </w:p>
    <w:p>
      <w:pPr>
        <w:pStyle w:val="Heading1"/>
        <w:ind w:hanging="0" w:start="0"/>
        <w:rPr>
          <w:color w:val="000000"/>
        </w:rPr>
      </w:pPr>
      <w:bookmarkStart w:id="73" w:name="_DV_M46"/>
      <w:bookmarkEnd w:id="73"/>
      <w:r>
        <w:rPr>
          <w:b/>
          <w:color w:val="000000"/>
        </w:rPr>
        <w:t>4.</w:t>
        <w:tab/>
        <w:t xml:space="preserve">Amendment to Exposure Threshold.  </w:t>
      </w:r>
      <w:r>
        <w:rPr>
          <w:color w:val="000000"/>
        </w:rPr>
        <w:t>Section 6(g) of the Master Netting Agreement is hereby amended by deleting the amount “$15,000,000” in the tenth line thereof and inserting in its place “$0 for the Replacement Collateral Period and $15,000,000 thereafter.”</w:t>
      </w:r>
      <w:bookmarkStart w:id="74" w:name="_DV_C31"/>
      <w:r>
        <w:rPr>
          <w:rStyle w:val="DeltaViewInsertion"/>
        </w:rPr>
        <w:t xml:space="preserve">  For clarification, the proviso after the words "$15,000,000 thereafter" shall remain in full force and effect notwithstanding this amendment.</w:t>
      </w:r>
      <w:bookmarkEnd w:id="74"/>
    </w:p>
    <w:p>
      <w:pPr>
        <w:pStyle w:val="Heading1"/>
        <w:ind w:hanging="0" w:start="0"/>
        <w:rPr/>
      </w:pPr>
      <w:bookmarkStart w:id="75" w:name="_DV_M47"/>
      <w:bookmarkEnd w:id="75"/>
      <w:r>
        <w:rPr>
          <w:b/>
          <w:color w:val="000000"/>
        </w:rPr>
        <w:t>5.</w:t>
        <w:tab/>
        <w:t xml:space="preserve">Amendment to Arbitration Provisions. </w:t>
      </w:r>
      <w:r>
        <w:rPr>
          <w:color w:val="000000"/>
        </w:rPr>
        <w:t xml:space="preserve"> Section 16 of the Master Netting Agreement is hereby amended by adding the clause, “provided, however, arbitration shall not apply to any invocation of or effort by the Enron Parties to enforce any remedial provisions of this Second Amendment, any collateral instruments or security documents, including, without limitation, the Security Agreement, executed by New Power in favor of the Enron Parties, whether such invocation or enforcement is by nonjudicial or judicial foreclosure, notice to account debtors or holders of property as to rights of the Enron Parties or otherwise.” after the word “arbitration” in the fifth line thereof.</w:t>
      </w:r>
    </w:p>
    <w:p>
      <w:pPr>
        <w:pStyle w:val="Heading1"/>
        <w:ind w:hanging="0" w:start="0"/>
        <w:rPr/>
      </w:pPr>
      <w:bookmarkStart w:id="76" w:name="_DV_M48"/>
      <w:bookmarkEnd w:id="76"/>
      <w:r>
        <w:rPr>
          <w:b/>
          <w:color w:val="000000"/>
        </w:rPr>
        <w:t>6.</w:t>
        <w:tab/>
        <w:t xml:space="preserve">Representations and Warranties.  </w:t>
      </w:r>
      <w:r>
        <w:rPr>
          <w:color w:val="000000"/>
        </w:rPr>
        <w:t xml:space="preserve">Each Party represents and warrants to the other that (i) it is duly authorized to execute and deliver this </w:t>
      </w:r>
      <w:bookmarkStart w:id="77" w:name="_DV_C32"/>
      <w:r>
        <w:rPr>
          <w:rStyle w:val="DeltaViewDeletion"/>
        </w:rPr>
        <w:t>Agreement</w:t>
      </w:r>
      <w:bookmarkStart w:id="78" w:name="_DV_C33"/>
      <w:bookmarkEnd w:id="77"/>
      <w:r>
        <w:rPr>
          <w:rStyle w:val="DeltaViewInsertion"/>
        </w:rPr>
        <w:t>Second Amendment</w:t>
      </w:r>
      <w:bookmarkStart w:id="79" w:name="_DV_M49"/>
      <w:bookmarkEnd w:id="78"/>
      <w:bookmarkEnd w:id="79"/>
      <w:r>
        <w:rPr>
          <w:color w:val="000000"/>
        </w:rPr>
        <w:t xml:space="preserve"> and to perform its obligations hereunder and has taken all necessary actions to authorize such execution, delivery, and performance, including, with respect to New Power, approval by New Power’s Board of Directors and its Business Review Committee, in form and substance satisfactory to the Enron Parties, (ii) the person signing this </w:t>
      </w:r>
      <w:bookmarkStart w:id="80" w:name="_DV_C34"/>
      <w:r>
        <w:rPr>
          <w:rStyle w:val="DeltaViewDeletion"/>
        </w:rPr>
        <w:t>Agreement</w:t>
      </w:r>
      <w:bookmarkStart w:id="81" w:name="_DV_C35"/>
      <w:bookmarkEnd w:id="80"/>
      <w:r>
        <w:rPr>
          <w:rStyle w:val="DeltaViewInsertion"/>
        </w:rPr>
        <w:t>Second Amendment</w:t>
      </w:r>
      <w:bookmarkStart w:id="82" w:name="_DV_M50"/>
      <w:bookmarkEnd w:id="81"/>
      <w:bookmarkEnd w:id="82"/>
      <w:r>
        <w:rPr>
          <w:color w:val="000000"/>
        </w:rPr>
        <w:t xml:space="preserve"> on its behalf is duly authorized to do so on its behalf, and (iii) this </w:t>
      </w:r>
      <w:bookmarkStart w:id="83" w:name="_DV_C36"/>
      <w:r>
        <w:rPr>
          <w:rStyle w:val="DeltaViewDeletion"/>
        </w:rPr>
        <w:t>Agreement</w:t>
      </w:r>
      <w:bookmarkStart w:id="84" w:name="_DV_C37"/>
      <w:bookmarkEnd w:id="83"/>
      <w:r>
        <w:rPr>
          <w:rStyle w:val="DeltaViewInsertion"/>
        </w:rPr>
        <w:t>Second Amendment</w:t>
      </w:r>
      <w:bookmarkStart w:id="85" w:name="_DV_M51"/>
      <w:bookmarkEnd w:id="84"/>
      <w:bookmarkEnd w:id="85"/>
      <w:r>
        <w:rPr>
          <w:color w:val="000000"/>
        </w:rPr>
        <w:t xml:space="preserve">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the Master Netting Agreement or any of the Underlying Master Agreements to any third party.</w:t>
      </w:r>
    </w:p>
    <w:p>
      <w:pPr>
        <w:pStyle w:val="Heading1"/>
        <w:ind w:hanging="0" w:start="0"/>
        <w:rPr>
          <w:color w:val="000000"/>
        </w:rPr>
      </w:pPr>
      <w:bookmarkStart w:id="86" w:name="_DV_C38"/>
      <w:r>
        <w:rPr>
          <w:rStyle w:val="DeltaViewDeletion"/>
          <w:b/>
        </w:rPr>
        <w:t>7.</w:t>
        <w:tab/>
        <w:t xml:space="preserve">Governing Law.  </w:t>
      </w:r>
      <w:r>
        <w:rPr>
          <w:rStyle w:val="DeltaViewDeletion"/>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Netting Agreements; provided, in the event of any inconsistency as to the governing law under any of the Underlying Master Netting Agreements, this Agreement shall be construed in accordance with the substantive law of the State of New York (without reference to its choice of law doctrine).</w:t>
      </w:r>
      <w:bookmarkEnd w:id="86"/>
    </w:p>
    <w:p>
      <w:pPr>
        <w:pStyle w:val="Heading1"/>
        <w:ind w:hanging="0" w:start="0"/>
        <w:rPr>
          <w:color w:val="000000"/>
        </w:rPr>
      </w:pPr>
      <w:bookmarkStart w:id="87" w:name="_DV_C39"/>
      <w:bookmarkStart w:id="88" w:name="_DV_IPM1"/>
      <w:bookmarkEnd w:id="88"/>
      <w:r>
        <w:rPr>
          <w:rStyle w:val="DeltaViewInsertion"/>
          <w:b/>
        </w:rPr>
        <w:t>7.</w:t>
        <w:tab/>
        <w:t xml:space="preserve">Governing Law.  </w:t>
      </w:r>
      <w:r>
        <w:rPr>
          <w:rStyle w:val="DeltaViewInsertion"/>
        </w:rPr>
        <w:t>The law governing this Second Amendment shall be the law applicable to the Master Netting Agreement.  This Second Amendment is a financial accommodation contract under the Code.</w:t>
      </w:r>
      <w:bookmarkEnd w:id="87"/>
    </w:p>
    <w:p>
      <w:pPr>
        <w:pStyle w:val="Heading1"/>
        <w:ind w:hanging="0" w:start="0"/>
        <w:rPr/>
      </w:pPr>
      <w:bookmarkStart w:id="89" w:name="_DV_M52"/>
      <w:bookmarkEnd w:id="89"/>
      <w:r>
        <w:rPr>
          <w:b/>
          <w:color w:val="000000"/>
        </w:rPr>
        <w:t>8.</w:t>
        <w:tab/>
        <w:t>Reaffirmation of Master Netting Agreement; Severability.</w:t>
      </w:r>
      <w:r>
        <w:rPr>
          <w:color w:val="000000"/>
        </w:rPr>
        <w:t xml:space="preserve">  Each of the Parties hereby reaffirms its obligations under the Master Netting Agreement, as amended by </w:t>
      </w:r>
      <w:bookmarkStart w:id="90" w:name="_DV_C40"/>
      <w:r>
        <w:rPr>
          <w:rStyle w:val="DeltaViewInsertion"/>
        </w:rPr>
        <w:t xml:space="preserve">the First Amendment and </w:t>
      </w:r>
      <w:bookmarkStart w:id="91" w:name="_DV_M53"/>
      <w:bookmarkEnd w:id="90"/>
      <w:bookmarkEnd w:id="91"/>
      <w:r>
        <w:rPr>
          <w:color w:val="000000"/>
        </w:rPr>
        <w:t xml:space="preserve">this Second Amendment, and confirms that the Master Netting Agreement, as amended by the </w:t>
      </w:r>
      <w:bookmarkStart w:id="92" w:name="_DV_C41"/>
      <w:r>
        <w:rPr>
          <w:rStyle w:val="DeltaViewInsertion"/>
        </w:rPr>
        <w:t xml:space="preserve">First Amendment and this </w:t>
      </w:r>
      <w:bookmarkStart w:id="93" w:name="_DV_M54"/>
      <w:bookmarkEnd w:id="92"/>
      <w:bookmarkEnd w:id="93"/>
      <w:r>
        <w:rPr>
          <w:color w:val="000000"/>
        </w:rPr>
        <w:t>Second Amendment, and the Underlying Master Netting Agreement are and shall remain in full force and effect.  In the event any one or more of the provisions contained in this</w:t>
      </w:r>
      <w:bookmarkStart w:id="94" w:name="_DV_C42"/>
      <w:r>
        <w:rPr>
          <w:rStyle w:val="DeltaViewInsertion"/>
        </w:rPr>
        <w:t xml:space="preserve"> Second</w:t>
      </w:r>
      <w:bookmarkStart w:id="95" w:name="_DV_M55"/>
      <w:bookmarkEnd w:id="94"/>
      <w:bookmarkEnd w:id="95"/>
      <w:r>
        <w:rPr>
          <w:color w:val="000000"/>
        </w:rPr>
        <w:t xml:space="preserve"> Amendment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Heading1"/>
        <w:ind w:hanging="0" w:start="0"/>
        <w:rPr/>
      </w:pPr>
      <w:bookmarkStart w:id="96" w:name="_DV_M56"/>
      <w:bookmarkEnd w:id="96"/>
      <w:r>
        <w:rPr>
          <w:b/>
          <w:color w:val="000000"/>
        </w:rPr>
        <w:t>9.</w:t>
        <w:tab/>
        <w:t>Representation by Counsel.</w:t>
      </w:r>
      <w:r>
        <w:rPr>
          <w:color w:val="000000"/>
        </w:rPr>
        <w:t xml:space="preserve">  Each Party represents that before executing this Second Amendment, it has been fully informed of its terms, contents, conditions, and effect.  Each party further represents that, in entering into this Second Amendment, it has had the benefit and advice of counsel and experts of its own choosing and that no promises or representations of any kind have been made by any party or anyone acting for a party except as expressly stated in this Second Amendment and that it has entered into this Second Amendment freely and without duress of any kind.</w:t>
      </w:r>
    </w:p>
    <w:p>
      <w:pPr>
        <w:pStyle w:val="BodyText"/>
        <w:keepNext w:val="true"/>
        <w:keepLines/>
        <w:rPr/>
      </w:pPr>
      <w:bookmarkStart w:id="97" w:name="_DV_M57"/>
      <w:bookmarkEnd w:id="97"/>
      <w:r>
        <w:rPr>
          <w:b/>
          <w:color w:val="000000"/>
        </w:rPr>
        <w:t>IN WITNESS WHEREOF</w:t>
      </w:r>
      <w:r>
        <w:rPr>
          <w:color w:val="000000"/>
        </w:rPr>
        <w:t>, the Parties hereto have caused this Second Amendment to be executed by facsimile or original signature and in multiple counterparts, each of which is deemed an original and effective as one document, as of the date first written above.</w:t>
      </w:r>
    </w:p>
    <w:p>
      <w:pPr>
        <w:pStyle w:val="Signature"/>
        <w:keepNext w:val="true"/>
        <w:keepLines/>
        <w:rPr>
          <w:color w:val="000000"/>
        </w:rPr>
      </w:pPr>
      <w:bookmarkStart w:id="98" w:name="_DV_M58"/>
      <w:bookmarkEnd w:id="98"/>
      <w:r>
        <w:rPr>
          <w:color w:val="000000"/>
        </w:rPr>
        <w:t>ENRON NORTH AMERICA CORP.</w:t>
      </w:r>
    </w:p>
    <w:p>
      <w:pPr>
        <w:pStyle w:val="Signature2"/>
        <w:keepLines/>
        <w:rPr>
          <w:color w:val="000000"/>
        </w:rPr>
      </w:pPr>
      <w:bookmarkStart w:id="99" w:name="_DV_M59"/>
      <w:bookmarkEnd w:id="99"/>
      <w:r>
        <w:rPr>
          <w:color w:val="000000"/>
        </w:rPr>
        <w:t>By:</w:t>
      </w:r>
      <w:r>
        <w:rPr>
          <w:color w:val="000000"/>
          <w:u w:val="single"/>
        </w:rPr>
        <w:tab/>
        <w:tab/>
        <w:tab/>
        <w:tab/>
        <w:tab/>
        <w:tab/>
        <w:tab/>
      </w:r>
    </w:p>
    <w:p>
      <w:pPr>
        <w:pStyle w:val="Signature2"/>
        <w:keepLines/>
        <w:rPr>
          <w:color w:val="000000"/>
        </w:rPr>
      </w:pPr>
      <w:bookmarkStart w:id="100" w:name="_DV_M60"/>
      <w:bookmarkEnd w:id="100"/>
      <w:r>
        <w:rPr>
          <w:color w:val="000000"/>
        </w:rPr>
        <w:t>Print Name:</w:t>
      </w:r>
      <w:r>
        <w:rPr>
          <w:color w:val="000000"/>
          <w:u w:val="single"/>
        </w:rPr>
        <w:tab/>
        <w:tab/>
        <w:tab/>
        <w:tab/>
        <w:tab/>
        <w:tab/>
      </w:r>
    </w:p>
    <w:p>
      <w:pPr>
        <w:pStyle w:val="Signature2"/>
        <w:keepLines/>
        <w:rPr/>
      </w:pPr>
      <w:bookmarkStart w:id="101" w:name="_DV_M61"/>
      <w:bookmarkEnd w:id="101"/>
      <w:r>
        <w:rPr>
          <w:color w:val="000000"/>
        </w:rPr>
        <w:t>Title:</w:t>
      </w:r>
      <w:r>
        <w:rPr>
          <w:color w:val="000000"/>
          <w:u w:val="single"/>
        </w:rPr>
        <w:tab/>
        <w:tab/>
        <w:tab/>
        <w:tab/>
        <w:tab/>
        <w:tab/>
        <w:tab/>
      </w:r>
    </w:p>
    <w:p>
      <w:pPr>
        <w:pStyle w:val="Signature2"/>
        <w:keepLines/>
        <w:rPr>
          <w:color w:val="000000"/>
          <w:u w:val="single"/>
        </w:rPr>
      </w:pPr>
      <w:r>
        <w:rPr>
          <w:color w:val="000000"/>
          <w:u w:val="single"/>
        </w:rPr>
      </w:r>
    </w:p>
    <w:p>
      <w:pPr>
        <w:pStyle w:val="Signature"/>
        <w:keepNext w:val="true"/>
        <w:keepLines/>
        <w:rPr>
          <w:color w:val="000000"/>
        </w:rPr>
      </w:pPr>
      <w:bookmarkStart w:id="102" w:name="_DV_M62"/>
      <w:bookmarkEnd w:id="102"/>
      <w:r>
        <w:rPr>
          <w:color w:val="000000"/>
        </w:rPr>
        <w:t>ENRON ENERGY SERVICES, INC.</w:t>
      </w:r>
    </w:p>
    <w:p>
      <w:pPr>
        <w:pStyle w:val="Signature2"/>
        <w:keepLines/>
        <w:rPr>
          <w:color w:val="000000"/>
        </w:rPr>
      </w:pPr>
      <w:bookmarkStart w:id="103" w:name="_DV_M63"/>
      <w:bookmarkEnd w:id="103"/>
      <w:r>
        <w:rPr>
          <w:color w:val="000000"/>
        </w:rPr>
        <w:t>By:</w:t>
      </w:r>
      <w:r>
        <w:rPr>
          <w:color w:val="000000"/>
          <w:u w:val="single"/>
        </w:rPr>
        <w:tab/>
        <w:tab/>
        <w:tab/>
        <w:tab/>
        <w:tab/>
        <w:tab/>
        <w:tab/>
      </w:r>
    </w:p>
    <w:p>
      <w:pPr>
        <w:pStyle w:val="Signature2"/>
        <w:keepLines/>
        <w:rPr>
          <w:color w:val="000000"/>
        </w:rPr>
      </w:pPr>
      <w:bookmarkStart w:id="104" w:name="_DV_M64"/>
      <w:bookmarkEnd w:id="104"/>
      <w:r>
        <w:rPr>
          <w:color w:val="000000"/>
        </w:rPr>
        <w:t>Print Name:</w:t>
      </w:r>
      <w:r>
        <w:rPr>
          <w:color w:val="000000"/>
          <w:u w:val="single"/>
        </w:rPr>
        <w:tab/>
        <w:tab/>
        <w:tab/>
        <w:tab/>
        <w:tab/>
        <w:tab/>
      </w:r>
    </w:p>
    <w:p>
      <w:pPr>
        <w:pStyle w:val="Signature2"/>
        <w:keepLines/>
        <w:rPr/>
      </w:pPr>
      <w:bookmarkStart w:id="105" w:name="_DV_M65"/>
      <w:bookmarkEnd w:id="105"/>
      <w:r>
        <w:rPr>
          <w:color w:val="000000"/>
        </w:rPr>
        <w:t>Title:</w:t>
      </w:r>
      <w:r>
        <w:rPr>
          <w:color w:val="000000"/>
          <w:u w:val="single"/>
        </w:rPr>
        <w:tab/>
        <w:tab/>
        <w:tab/>
        <w:tab/>
        <w:tab/>
        <w:tab/>
        <w:tab/>
      </w:r>
    </w:p>
    <w:p>
      <w:pPr>
        <w:pStyle w:val="Signature2"/>
        <w:keepLines/>
        <w:rPr>
          <w:color w:val="000000"/>
          <w:u w:val="single"/>
        </w:rPr>
      </w:pPr>
      <w:r>
        <w:rPr>
          <w:color w:val="000000"/>
          <w:u w:val="single"/>
        </w:rPr>
      </w:r>
    </w:p>
    <w:p>
      <w:pPr>
        <w:pStyle w:val="Signature"/>
        <w:keepNext w:val="true"/>
        <w:keepLines/>
        <w:rPr>
          <w:color w:val="000000"/>
        </w:rPr>
      </w:pPr>
      <w:bookmarkStart w:id="106" w:name="_DV_M66"/>
      <w:bookmarkEnd w:id="106"/>
      <w:r>
        <w:rPr>
          <w:color w:val="000000"/>
        </w:rPr>
        <w:t>ENRON POWER MARKETING INC.</w:t>
      </w:r>
    </w:p>
    <w:p>
      <w:pPr>
        <w:pStyle w:val="Signature2"/>
        <w:keepLines/>
        <w:rPr>
          <w:color w:val="000000"/>
        </w:rPr>
      </w:pPr>
      <w:bookmarkStart w:id="107" w:name="_DV_M67"/>
      <w:bookmarkEnd w:id="107"/>
      <w:r>
        <w:rPr>
          <w:color w:val="000000"/>
        </w:rPr>
        <w:t>By:</w:t>
      </w:r>
      <w:r>
        <w:rPr>
          <w:color w:val="000000"/>
          <w:u w:val="single"/>
        </w:rPr>
        <w:tab/>
        <w:tab/>
        <w:tab/>
        <w:tab/>
        <w:tab/>
        <w:tab/>
        <w:tab/>
      </w:r>
    </w:p>
    <w:p>
      <w:pPr>
        <w:pStyle w:val="Signature2"/>
        <w:keepLines/>
        <w:rPr>
          <w:color w:val="000000"/>
        </w:rPr>
      </w:pPr>
      <w:bookmarkStart w:id="108" w:name="_DV_M68"/>
      <w:bookmarkEnd w:id="108"/>
      <w:r>
        <w:rPr>
          <w:color w:val="000000"/>
        </w:rPr>
        <w:t>Print Name:</w:t>
      </w:r>
      <w:r>
        <w:rPr>
          <w:color w:val="000000"/>
          <w:u w:val="single"/>
        </w:rPr>
        <w:tab/>
        <w:tab/>
        <w:tab/>
        <w:tab/>
        <w:tab/>
        <w:tab/>
      </w:r>
    </w:p>
    <w:p>
      <w:pPr>
        <w:pStyle w:val="Signature2"/>
        <w:keepLines/>
        <w:rPr/>
      </w:pPr>
      <w:bookmarkStart w:id="109" w:name="_DV_M69"/>
      <w:bookmarkEnd w:id="109"/>
      <w:r>
        <w:rPr>
          <w:color w:val="000000"/>
        </w:rPr>
        <w:t>Title:</w:t>
      </w:r>
      <w:r>
        <w:rPr>
          <w:color w:val="000000"/>
          <w:u w:val="single"/>
        </w:rPr>
        <w:tab/>
        <w:tab/>
        <w:tab/>
        <w:tab/>
        <w:tab/>
        <w:tab/>
        <w:tab/>
      </w:r>
    </w:p>
    <w:p>
      <w:pPr>
        <w:pStyle w:val="Signature2"/>
        <w:keepLines/>
        <w:rPr>
          <w:color w:val="000000"/>
          <w:u w:val="single"/>
        </w:rPr>
      </w:pPr>
      <w:r>
        <w:rPr>
          <w:color w:val="000000"/>
          <w:u w:val="single"/>
        </w:rPr>
      </w:r>
    </w:p>
    <w:p>
      <w:pPr>
        <w:pStyle w:val="Signature"/>
        <w:keepNext w:val="true"/>
        <w:keepLines/>
        <w:rPr>
          <w:color w:val="000000"/>
        </w:rPr>
      </w:pPr>
      <w:bookmarkStart w:id="110" w:name="_DV_M70"/>
      <w:bookmarkEnd w:id="110"/>
      <w:r>
        <w:rPr>
          <w:color w:val="000000"/>
        </w:rPr>
        <w:t>THE NEW POWER COMPANY</w:t>
      </w:r>
    </w:p>
    <w:p>
      <w:pPr>
        <w:pStyle w:val="Signature2"/>
        <w:keepLines/>
        <w:rPr>
          <w:color w:val="000000"/>
        </w:rPr>
      </w:pPr>
      <w:bookmarkStart w:id="111" w:name="_DV_M71"/>
      <w:bookmarkEnd w:id="111"/>
      <w:r>
        <w:rPr>
          <w:color w:val="000000"/>
        </w:rPr>
        <w:t>By:</w:t>
      </w:r>
      <w:r>
        <w:rPr>
          <w:color w:val="000000"/>
          <w:u w:val="single"/>
        </w:rPr>
        <w:tab/>
        <w:tab/>
        <w:tab/>
        <w:tab/>
        <w:tab/>
        <w:tab/>
        <w:tab/>
      </w:r>
    </w:p>
    <w:p>
      <w:pPr>
        <w:pStyle w:val="Signature2"/>
        <w:keepLines/>
        <w:rPr>
          <w:color w:val="000000"/>
        </w:rPr>
      </w:pPr>
      <w:bookmarkStart w:id="112" w:name="_DV_M72"/>
      <w:bookmarkEnd w:id="112"/>
      <w:r>
        <w:rPr>
          <w:color w:val="000000"/>
        </w:rPr>
        <w:t>Print Name:</w:t>
      </w:r>
      <w:r>
        <w:rPr>
          <w:color w:val="000000"/>
          <w:u w:val="single"/>
        </w:rPr>
        <w:tab/>
        <w:tab/>
        <w:tab/>
        <w:tab/>
        <w:tab/>
        <w:tab/>
      </w:r>
    </w:p>
    <w:p>
      <w:pPr>
        <w:pStyle w:val="Signature2"/>
        <w:keepLines/>
        <w:rPr/>
      </w:pPr>
      <w:bookmarkStart w:id="113" w:name="_DV_M73"/>
      <w:bookmarkEnd w:id="113"/>
      <w:r>
        <w:rPr>
          <w:color w:val="000000"/>
        </w:rPr>
        <w:t>Title:</w:t>
      </w:r>
      <w:r>
        <w:rPr>
          <w:color w:val="000000"/>
          <w:u w:val="single"/>
        </w:rPr>
        <w:tab/>
        <w:tab/>
        <w:tab/>
        <w:tab/>
        <w:tab/>
        <w:tab/>
        <w:tab/>
      </w:r>
    </w:p>
    <w:p>
      <w:pPr>
        <w:pStyle w:val="Signature2"/>
        <w:keepNext w:val="false"/>
        <w:rPr>
          <w:color w:val="000000"/>
          <w:u w:val="single"/>
        </w:rPr>
      </w:pPr>
      <w:r>
        <w:rPr>
          <w:color w:val="000000"/>
          <w:u w:val="single"/>
        </w:rPr>
      </w:r>
    </w:p>
    <w:p>
      <w:pPr>
        <w:pStyle w:val="BodyText"/>
        <w:jc w:val="center"/>
        <w:rPr>
          <w:color w:val="000000"/>
        </w:rPr>
      </w:pPr>
      <w:r>
        <w:rPr>
          <w:color w:val="000000"/>
        </w:rPr>
      </w:r>
      <w:r>
        <w:br w:type="page"/>
      </w:r>
    </w:p>
    <w:p>
      <w:pPr>
        <w:pStyle w:val="BodyText"/>
        <w:jc w:val="center"/>
        <w:rPr>
          <w:color w:val="000000"/>
        </w:rPr>
      </w:pPr>
      <w:bookmarkStart w:id="114" w:name="_DV_M74"/>
      <w:bookmarkEnd w:id="114"/>
      <w:r>
        <w:rPr>
          <w:color w:val="000000"/>
        </w:rPr>
        <w:t>EXHIBIT A</w:t>
      </w:r>
    </w:p>
    <w:p>
      <w:pPr>
        <w:pStyle w:val="BodyText"/>
        <w:jc w:val="start"/>
        <w:rPr>
          <w:color w:val="000000"/>
        </w:rPr>
      </w:pPr>
      <w:r>
        <w:rPr>
          <w:color w:val="000000"/>
        </w:rPr>
      </w:r>
    </w:p>
    <w:p>
      <w:pPr>
        <w:pStyle w:val="BodyText"/>
        <w:jc w:val="center"/>
        <w:rPr>
          <w:color w:val="000000"/>
        </w:rPr>
      </w:pPr>
      <w:bookmarkStart w:id="115" w:name="_DV_M75"/>
      <w:bookmarkEnd w:id="115"/>
      <w:r>
        <w:rPr>
          <w:color w:val="000000"/>
        </w:rPr>
        <w:t>COPY OF MASTER NETTING AGREEMENT</w:t>
      </w:r>
      <w:r>
        <w:br w:type="page"/>
      </w:r>
    </w:p>
    <w:p>
      <w:pPr>
        <w:pStyle w:val="BodyText"/>
        <w:jc w:val="center"/>
        <w:rPr>
          <w:color w:val="000000"/>
        </w:rPr>
      </w:pPr>
      <w:r>
        <w:rPr>
          <w:color w:val="000000"/>
        </w:rPr>
        <w:t>EXHIBIT B</w:t>
      </w:r>
    </w:p>
    <w:p>
      <w:pPr>
        <w:pStyle w:val="BodyText"/>
        <w:jc w:val="center"/>
        <w:rPr>
          <w:color w:val="000000"/>
        </w:rPr>
      </w:pPr>
      <w:bookmarkStart w:id="116" w:name="_DV_M76"/>
      <w:bookmarkEnd w:id="116"/>
      <w:r>
        <w:rPr>
          <w:color w:val="000000"/>
        </w:rPr>
        <w:t>FORM OF REPLACEMENT COLLATERAL CERTIFICATE</w:t>
      </w:r>
    </w:p>
    <w:p>
      <w:pPr>
        <w:pStyle w:val="BodyText"/>
        <w:spacing w:before="0" w:after="0"/>
        <w:jc w:val="start"/>
        <w:rPr>
          <w:color w:val="000000"/>
        </w:rPr>
      </w:pPr>
      <w:r>
        <w:rPr>
          <w:color w:val="000000"/>
        </w:rPr>
      </w:r>
      <w:bookmarkStart w:id="117" w:name="_DV_IPM2"/>
      <w:bookmarkStart w:id="118" w:name="_DV_IPM2"/>
      <w:bookmarkEnd w:id="118"/>
    </w:p>
    <w:p>
      <w:pPr>
        <w:pStyle w:val="BodyText"/>
        <w:spacing w:before="0" w:after="0"/>
        <w:jc w:val="start"/>
        <w:rPr>
          <w:color w:val="000000"/>
        </w:rPr>
      </w:pPr>
      <w:bookmarkStart w:id="119" w:name="_DV_C43"/>
      <w:bookmarkStart w:id="120" w:name="_DV_IPM3"/>
      <w:bookmarkEnd w:id="120"/>
      <w:r>
        <w:rPr>
          <w:rStyle w:val="DeltaViewInsertion"/>
        </w:rPr>
        <w:tab/>
        <w:t>(i)</w:t>
        <w:tab/>
        <w:t>Substitution Amount calculation</w:t>
      </w:r>
      <w:bookmarkEnd w:id="119"/>
    </w:p>
    <w:p>
      <w:pPr>
        <w:pStyle w:val="BodyText"/>
        <w:spacing w:before="0" w:after="0"/>
        <w:jc w:val="start"/>
        <w:rPr>
          <w:color w:val="000000"/>
        </w:rPr>
      </w:pPr>
      <w:r>
        <w:rPr>
          <w:color w:val="000000"/>
        </w:rPr>
      </w:r>
      <w:bookmarkStart w:id="121" w:name="_DV_IPM4"/>
      <w:bookmarkStart w:id="122" w:name="_DV_IPM4"/>
      <w:bookmarkEnd w:id="122"/>
    </w:p>
    <w:p>
      <w:pPr>
        <w:pStyle w:val="BodyText"/>
        <w:spacing w:before="0" w:after="0"/>
        <w:jc w:val="start"/>
        <w:rPr>
          <w:color w:val="000000"/>
        </w:rPr>
      </w:pPr>
      <w:bookmarkStart w:id="123" w:name="_DV_C44"/>
      <w:bookmarkStart w:id="124" w:name="_DV_IPM5"/>
      <w:bookmarkEnd w:id="124"/>
      <w:r>
        <w:rPr>
          <w:rStyle w:val="DeltaViewInsertion"/>
        </w:rPr>
        <w:t>A)</w:t>
        <w:tab/>
        <w:t>Eligible Accounts</w:t>
        <w:tab/>
        <w:tab/>
        <w:tab/>
        <w:tab/>
        <w:tab/>
        <w:tab/>
      </w:r>
      <w:bookmarkEnd w:id="123"/>
    </w:p>
    <w:p>
      <w:pPr>
        <w:pStyle w:val="BodyText"/>
        <w:spacing w:before="0" w:after="0"/>
        <w:jc w:val="start"/>
        <w:rPr>
          <w:color w:val="000000"/>
        </w:rPr>
      </w:pPr>
      <w:bookmarkStart w:id="125" w:name="_DV_C45"/>
      <w:bookmarkStart w:id="126" w:name="_DV_IPM6"/>
      <w:bookmarkEnd w:id="126"/>
      <w:r>
        <w:rPr>
          <w:rStyle w:val="DeltaViewInsertion"/>
        </w:rPr>
        <w:t>B)</w:t>
        <w:tab/>
        <w:tab/>
        <w:tab/>
        <w:tab/>
        <w:tab/>
        <w:tab/>
        <w:tab/>
        <w:tab/>
        <w:t>x 0.85</w:t>
      </w:r>
      <w:bookmarkEnd w:id="125"/>
    </w:p>
    <w:p>
      <w:pPr>
        <w:pStyle w:val="BodyText"/>
        <w:spacing w:before="0" w:after="0"/>
        <w:jc w:val="start"/>
        <w:rPr>
          <w:color w:val="000000"/>
        </w:rPr>
      </w:pPr>
      <w:bookmarkStart w:id="127" w:name="_DV_C46"/>
      <w:bookmarkStart w:id="128" w:name="_DV_IPM7"/>
      <w:bookmarkEnd w:id="128"/>
      <w:r>
        <w:rPr>
          <w:rStyle w:val="DeltaViewInsertion"/>
        </w:rPr>
        <w:t>C)</w:t>
        <w:tab/>
        <w:t>A times B (85% of Eligible Accounts)</w:t>
        <w:tab/>
        <w:tab/>
        <w:tab/>
      </w:r>
      <w:bookmarkEnd w:id="127"/>
    </w:p>
    <w:p>
      <w:pPr>
        <w:pStyle w:val="BodyText"/>
        <w:spacing w:before="0" w:after="0"/>
        <w:jc w:val="start"/>
        <w:rPr>
          <w:color w:val="000000"/>
        </w:rPr>
      </w:pPr>
      <w:bookmarkStart w:id="129" w:name="_DV_C47"/>
      <w:bookmarkStart w:id="130" w:name="_DV_IPM8"/>
      <w:bookmarkEnd w:id="130"/>
      <w:r>
        <w:rPr>
          <w:rStyle w:val="DeltaViewInsertion"/>
        </w:rPr>
        <w:t>D)</w:t>
        <w:tab/>
        <w:t>(1)</w:t>
        <w:tab/>
        <w:t>Natural Gas (mmbtu)</w:t>
        <w:tab/>
        <w:tab/>
        <w:tab/>
        <w:tab/>
        <w:tab/>
      </w:r>
      <w:bookmarkEnd w:id="129"/>
    </w:p>
    <w:p>
      <w:pPr>
        <w:pStyle w:val="BodyText"/>
        <w:spacing w:before="0" w:after="0"/>
        <w:jc w:val="start"/>
        <w:rPr>
          <w:color w:val="000000"/>
        </w:rPr>
      </w:pPr>
      <w:bookmarkStart w:id="131" w:name="_DV_C48"/>
      <w:bookmarkStart w:id="132" w:name="_DV_IPM9"/>
      <w:bookmarkEnd w:id="132"/>
      <w:r>
        <w:rPr>
          <w:rStyle w:val="DeltaViewInsertion"/>
        </w:rPr>
        <w:tab/>
        <w:t>(2)</w:t>
        <w:tab/>
        <w:t>Deduct Imbalance Amounts</w:t>
        <w:tab/>
        <w:tab/>
        <w:tab/>
        <w:tab/>
      </w:r>
      <w:bookmarkEnd w:id="131"/>
    </w:p>
    <w:p>
      <w:pPr>
        <w:pStyle w:val="BodyText"/>
        <w:spacing w:before="0" w:after="0"/>
        <w:jc w:val="start"/>
        <w:rPr>
          <w:color w:val="000000"/>
        </w:rPr>
      </w:pPr>
      <w:bookmarkStart w:id="133" w:name="_DV_C49"/>
      <w:bookmarkStart w:id="134" w:name="_DV_IPM10"/>
      <w:bookmarkEnd w:id="134"/>
      <w:r>
        <w:rPr>
          <w:rStyle w:val="DeltaViewInsertion"/>
        </w:rPr>
        <w:tab/>
        <w:t>(3)</w:t>
        <w:tab/>
        <w:t>Eligible Natural Gas</w:t>
        <w:tab/>
        <w:tab/>
        <w:tab/>
        <w:tab/>
        <w:tab/>
      </w:r>
      <w:bookmarkEnd w:id="133"/>
    </w:p>
    <w:p>
      <w:pPr>
        <w:pStyle w:val="BodyText"/>
        <w:spacing w:before="0" w:after="0"/>
        <w:jc w:val="start"/>
        <w:rPr>
          <w:color w:val="000000"/>
        </w:rPr>
      </w:pPr>
      <w:bookmarkStart w:id="135" w:name="_DV_C50"/>
      <w:bookmarkStart w:id="136" w:name="_DV_IPM11"/>
      <w:bookmarkEnd w:id="136"/>
      <w:r>
        <w:rPr>
          <w:rStyle w:val="DeltaViewInsertion"/>
        </w:rPr>
        <w:t>E)</w:t>
        <w:tab/>
        <w:t>[NYMEX] price per mmbtu</w:t>
        <w:tab/>
        <w:tab/>
        <w:tab/>
        <w:tab/>
        <w:tab/>
      </w:r>
      <w:bookmarkEnd w:id="135"/>
    </w:p>
    <w:p>
      <w:pPr>
        <w:pStyle w:val="BodyText"/>
        <w:spacing w:before="0" w:after="0"/>
        <w:jc w:val="start"/>
        <w:rPr>
          <w:color w:val="000000"/>
        </w:rPr>
      </w:pPr>
      <w:bookmarkStart w:id="137" w:name="_DV_C51"/>
      <w:bookmarkStart w:id="138" w:name="_DV_IPM12"/>
      <w:bookmarkEnd w:id="138"/>
      <w:r>
        <w:rPr>
          <w:rStyle w:val="DeltaViewInsertion"/>
        </w:rPr>
        <w:t>F)</w:t>
        <w:tab/>
        <w:t>D(3) times E (50% of Eligible Natural Gas)</w:t>
        <w:tab/>
        <w:tab/>
        <w:tab/>
      </w:r>
      <w:bookmarkEnd w:id="137"/>
    </w:p>
    <w:p>
      <w:pPr>
        <w:pStyle w:val="BodyText"/>
        <w:spacing w:before="0" w:after="0"/>
        <w:jc w:val="start"/>
        <w:rPr>
          <w:color w:val="000000"/>
        </w:rPr>
      </w:pPr>
      <w:bookmarkStart w:id="139" w:name="_DV_C52"/>
      <w:bookmarkStart w:id="140" w:name="_DV_IPM13"/>
      <w:bookmarkEnd w:id="140"/>
      <w:r>
        <w:rPr>
          <w:rStyle w:val="DeltaViewInsertion"/>
        </w:rPr>
        <w:t>G)</w:t>
        <w:tab/>
        <w:t>C plus F</w:t>
        <w:tab/>
        <w:tab/>
        <w:tab/>
        <w:tab/>
        <w:tab/>
        <w:tab/>
        <w:tab/>
      </w:r>
      <w:bookmarkEnd w:id="139"/>
    </w:p>
    <w:p>
      <w:pPr>
        <w:pStyle w:val="BodyText"/>
        <w:spacing w:before="0" w:after="0"/>
        <w:jc w:val="start"/>
        <w:rPr>
          <w:color w:val="000000"/>
        </w:rPr>
      </w:pPr>
      <w:r>
        <w:rPr>
          <w:color w:val="000000"/>
        </w:rPr>
      </w:r>
      <w:bookmarkStart w:id="141" w:name="_DV_IPM14"/>
      <w:bookmarkStart w:id="142" w:name="_DV_IPM14"/>
      <w:bookmarkEnd w:id="142"/>
    </w:p>
    <w:p>
      <w:pPr>
        <w:pStyle w:val="BodyText"/>
        <w:spacing w:before="0" w:after="0"/>
        <w:jc w:val="start"/>
        <w:rPr>
          <w:color w:val="000000"/>
        </w:rPr>
      </w:pPr>
      <w:bookmarkStart w:id="143" w:name="_DV_C53"/>
      <w:bookmarkStart w:id="144" w:name="_DV_IPM15"/>
      <w:bookmarkEnd w:id="144"/>
      <w:r>
        <w:rPr>
          <w:rStyle w:val="DeltaViewInsertion"/>
        </w:rPr>
        <w:t>Substitution Amount equal to the lesser of</w:t>
      </w:r>
      <w:bookmarkEnd w:id="143"/>
    </w:p>
    <w:p>
      <w:pPr>
        <w:pStyle w:val="BodyText"/>
        <w:spacing w:before="0" w:after="0"/>
        <w:jc w:val="start"/>
        <w:rPr>
          <w:color w:val="000000"/>
        </w:rPr>
      </w:pPr>
      <w:bookmarkStart w:id="145" w:name="_DV_C54"/>
      <w:bookmarkStart w:id="146" w:name="_DV_IPM16"/>
      <w:bookmarkEnd w:id="146"/>
      <w:r>
        <w:rPr>
          <w:rStyle w:val="DeltaViewInsertion"/>
        </w:rPr>
        <w:t>(i) $40,000,000 and (ii) the sum of 85% of</w:t>
      </w:r>
      <w:bookmarkEnd w:id="145"/>
    </w:p>
    <w:p>
      <w:pPr>
        <w:pStyle w:val="BodyText"/>
        <w:spacing w:before="0" w:after="0"/>
        <w:jc w:val="start"/>
        <w:rPr>
          <w:color w:val="000000"/>
        </w:rPr>
      </w:pPr>
      <w:bookmarkStart w:id="147" w:name="_DV_C55"/>
      <w:bookmarkStart w:id="148" w:name="_DV_IPM17"/>
      <w:bookmarkEnd w:id="148"/>
      <w:r>
        <w:rPr>
          <w:rStyle w:val="DeltaViewInsertion"/>
        </w:rPr>
        <w:t>Eligible Accounts and 50% of Eligible</w:t>
      </w:r>
      <w:bookmarkEnd w:id="147"/>
    </w:p>
    <w:p>
      <w:pPr>
        <w:pStyle w:val="BodyText"/>
        <w:spacing w:before="0" w:after="0"/>
        <w:jc w:val="start"/>
        <w:rPr>
          <w:color w:val="000000"/>
        </w:rPr>
      </w:pPr>
      <w:bookmarkStart w:id="149" w:name="_DV_C56"/>
      <w:bookmarkStart w:id="150" w:name="_DV_IPM18"/>
      <w:bookmarkEnd w:id="150"/>
      <w:r>
        <w:rPr>
          <w:rStyle w:val="DeltaViewInsertion"/>
        </w:rPr>
        <w:t>Natural Gas</w:t>
        <w:tab/>
        <w:tab/>
        <w:tab/>
        <w:tab/>
        <w:tab/>
        <w:tab/>
        <w:tab/>
        <w:tab/>
      </w:r>
      <w:bookmarkEnd w:id="149"/>
    </w:p>
    <w:p>
      <w:pPr>
        <w:pStyle w:val="BodyText"/>
        <w:spacing w:before="0" w:after="0"/>
        <w:jc w:val="start"/>
        <w:rPr>
          <w:color w:val="000000"/>
        </w:rPr>
      </w:pPr>
      <w:r>
        <w:rPr>
          <w:color w:val="000000"/>
        </w:rPr>
      </w:r>
      <w:bookmarkStart w:id="151" w:name="_DV_IPM19"/>
      <w:bookmarkStart w:id="152" w:name="_DV_IPM19"/>
      <w:bookmarkEnd w:id="152"/>
    </w:p>
    <w:p>
      <w:pPr>
        <w:pStyle w:val="BodyText"/>
        <w:spacing w:before="0" w:after="0"/>
        <w:jc w:val="start"/>
        <w:rPr>
          <w:color w:val="000000"/>
        </w:rPr>
      </w:pPr>
      <w:bookmarkStart w:id="153" w:name="_DV_C57"/>
      <w:bookmarkStart w:id="154" w:name="_DV_IPM20"/>
      <w:bookmarkEnd w:id="154"/>
      <w:r>
        <w:rPr>
          <w:rStyle w:val="DeltaViewInsertion"/>
        </w:rPr>
        <w:t>Amount of cash Collateral posted to</w:t>
      </w:r>
      <w:bookmarkEnd w:id="153"/>
    </w:p>
    <w:p>
      <w:pPr>
        <w:pStyle w:val="BodyText"/>
        <w:spacing w:before="0" w:after="0"/>
        <w:jc w:val="start"/>
        <w:rPr>
          <w:color w:val="000000"/>
        </w:rPr>
      </w:pPr>
      <w:bookmarkStart w:id="155" w:name="_DV_C58"/>
      <w:bookmarkStart w:id="156" w:name="_DV_IPM21"/>
      <w:bookmarkEnd w:id="156"/>
      <w:r>
        <w:rPr>
          <w:rStyle w:val="DeltaViewInsertion"/>
        </w:rPr>
        <w:t>the Enron Parties</w:t>
        <w:tab/>
        <w:tab/>
        <w:tab/>
        <w:tab/>
        <w:tab/>
        <w:tab/>
        <w:tab/>
      </w:r>
      <w:bookmarkEnd w:id="155"/>
    </w:p>
    <w:p>
      <w:pPr>
        <w:pStyle w:val="BodyText"/>
        <w:spacing w:before="0" w:after="0"/>
        <w:jc w:val="start"/>
        <w:rPr>
          <w:color w:val="000000"/>
        </w:rPr>
      </w:pPr>
      <w:r>
        <w:rPr>
          <w:color w:val="000000"/>
        </w:rPr>
      </w:r>
      <w:bookmarkStart w:id="157" w:name="_DV_IPM22"/>
      <w:bookmarkStart w:id="158" w:name="_DV_IPM22"/>
      <w:bookmarkEnd w:id="158"/>
    </w:p>
    <w:p>
      <w:pPr>
        <w:pStyle w:val="BodyText"/>
        <w:spacing w:before="0" w:after="0"/>
        <w:jc w:val="start"/>
        <w:rPr>
          <w:color w:val="000000"/>
        </w:rPr>
      </w:pPr>
      <w:bookmarkStart w:id="159" w:name="_DV_C59"/>
      <w:bookmarkStart w:id="160" w:name="_DV_IPM23"/>
      <w:bookmarkEnd w:id="160"/>
      <w:r>
        <w:rPr>
          <w:rStyle w:val="DeltaViewInsertion"/>
        </w:rPr>
        <w:t xml:space="preserve">Replacement Collateral posted to the </w:t>
      </w:r>
      <w:bookmarkEnd w:id="159"/>
    </w:p>
    <w:p>
      <w:pPr>
        <w:pStyle w:val="BodyText"/>
        <w:spacing w:before="0" w:after="0"/>
        <w:jc w:val="start"/>
        <w:rPr>
          <w:color w:val="000000"/>
        </w:rPr>
      </w:pPr>
      <w:bookmarkStart w:id="161" w:name="_DV_C60"/>
      <w:bookmarkStart w:id="162" w:name="_DV_IPM24"/>
      <w:bookmarkEnd w:id="162"/>
      <w:r>
        <w:rPr>
          <w:rStyle w:val="DeltaViewInsertion"/>
        </w:rPr>
        <w:t>Enron Parties</w:t>
        <w:tab/>
        <w:tab/>
        <w:tab/>
        <w:tab/>
        <w:tab/>
        <w:tab/>
        <w:tab/>
        <w:tab/>
      </w:r>
      <w:bookmarkEnd w:id="161"/>
    </w:p>
    <w:p>
      <w:pPr>
        <w:pStyle w:val="BodyText"/>
        <w:spacing w:before="0" w:after="0"/>
        <w:jc w:val="start"/>
        <w:rPr>
          <w:color w:val="000000"/>
        </w:rPr>
      </w:pPr>
      <w:r>
        <w:rPr>
          <w:color w:val="000000"/>
        </w:rPr>
      </w:r>
      <w:bookmarkStart w:id="163" w:name="_DV_IPM25"/>
      <w:bookmarkStart w:id="164" w:name="_DV_IPM25"/>
      <w:bookmarkEnd w:id="164"/>
    </w:p>
    <w:p>
      <w:pPr>
        <w:pStyle w:val="BodyText"/>
        <w:spacing w:before="0" w:after="0"/>
        <w:jc w:val="start"/>
        <w:rPr>
          <w:color w:val="000000"/>
        </w:rPr>
      </w:pPr>
      <w:bookmarkStart w:id="165" w:name="_DV_C61"/>
      <w:bookmarkStart w:id="166" w:name="_DV_IPM26"/>
      <w:bookmarkEnd w:id="166"/>
      <w:r>
        <w:rPr>
          <w:rStyle w:val="DeltaViewInsertion"/>
        </w:rPr>
        <w:t>ii)</w:t>
        <w:tab/>
        <w:t>Daily cash forecast for the current month and the subsequent month.</w:t>
      </w:r>
      <w:bookmarkEnd w:id="165"/>
    </w:p>
    <w:p>
      <w:pPr>
        <w:pStyle w:val="BodyText"/>
        <w:spacing w:before="0" w:after="0"/>
        <w:jc w:val="start"/>
        <w:rPr>
          <w:color w:val="000000"/>
        </w:rPr>
      </w:pPr>
      <w:r>
        <w:rPr>
          <w:color w:val="000000"/>
        </w:rPr>
      </w:r>
      <w:bookmarkStart w:id="167" w:name="_DV_IPM27"/>
      <w:bookmarkStart w:id="168" w:name="_DV_IPM27"/>
      <w:bookmarkEnd w:id="168"/>
    </w:p>
    <w:p>
      <w:pPr>
        <w:pStyle w:val="BodyText"/>
        <w:spacing w:before="0" w:after="0"/>
        <w:jc w:val="start"/>
        <w:rPr>
          <w:color w:val="000000"/>
        </w:rPr>
      </w:pPr>
      <w:bookmarkStart w:id="169" w:name="_DV_C62"/>
      <w:bookmarkStart w:id="170" w:name="_DV_IPM28"/>
      <w:bookmarkEnd w:id="170"/>
      <w:r>
        <w:rPr>
          <w:rStyle w:val="DeltaViewInsertion"/>
        </w:rPr>
        <w:t>iii)</w:t>
        <w:tab/>
        <w:t>Schedule of cash pledged as collateral or as deposit</w:t>
      </w:r>
      <w:bookmarkEnd w:id="169"/>
    </w:p>
    <w:p>
      <w:pPr>
        <w:pStyle w:val="BodyText"/>
        <w:spacing w:before="0" w:after="0"/>
        <w:jc w:val="start"/>
        <w:rPr>
          <w:color w:val="000000"/>
        </w:rPr>
      </w:pPr>
      <w:r>
        <w:rPr>
          <w:color w:val="000000"/>
        </w:rPr>
      </w:r>
      <w:bookmarkStart w:id="171" w:name="_DV_IPM29"/>
      <w:bookmarkStart w:id="172" w:name="_DV_IPM29"/>
      <w:bookmarkEnd w:id="172"/>
    </w:p>
    <w:p>
      <w:pPr>
        <w:pStyle w:val="BodyText"/>
        <w:spacing w:before="0" w:after="0"/>
        <w:jc w:val="start"/>
        <w:rPr>
          <w:color w:val="000000"/>
        </w:rPr>
      </w:pPr>
      <w:bookmarkStart w:id="173" w:name="_DV_C63"/>
      <w:bookmarkStart w:id="174" w:name="_DV_IPM30"/>
      <w:bookmarkEnd w:id="174"/>
      <w:r>
        <w:rPr>
          <w:rStyle w:val="DeltaViewInsertion"/>
        </w:rPr>
        <w:tab/>
        <w:tab/>
        <w:t>Counterparty</w:t>
        <w:tab/>
        <w:tab/>
        <w:tab/>
        <w:t>Amount</w:t>
      </w:r>
      <w:bookmarkEnd w:id="173"/>
    </w:p>
    <w:p>
      <w:pPr>
        <w:pStyle w:val="BodyText"/>
        <w:spacing w:before="0" w:after="0"/>
        <w:jc w:val="start"/>
        <w:rPr>
          <w:color w:val="000000"/>
        </w:rPr>
      </w:pPr>
      <w:r>
        <w:rPr>
          <w:color w:val="000000"/>
        </w:rPr>
      </w:r>
      <w:bookmarkStart w:id="175" w:name="_DV_IPM31"/>
      <w:bookmarkStart w:id="176" w:name="_DV_IPM31"/>
      <w:bookmarkEnd w:id="176"/>
    </w:p>
    <w:p>
      <w:pPr>
        <w:pStyle w:val="BodyText"/>
        <w:spacing w:before="0" w:after="0"/>
        <w:jc w:val="start"/>
        <w:rPr>
          <w:color w:val="000000"/>
        </w:rPr>
      </w:pPr>
      <w:r>
        <w:rPr>
          <w:color w:val="000000"/>
        </w:rPr>
      </w:r>
      <w:bookmarkStart w:id="177" w:name="_DV_IPM32"/>
      <w:bookmarkStart w:id="178" w:name="_DV_IPM32"/>
      <w:bookmarkEnd w:id="178"/>
    </w:p>
    <w:p>
      <w:pPr>
        <w:pStyle w:val="BodyText"/>
        <w:spacing w:before="0" w:after="0"/>
        <w:jc w:val="start"/>
        <w:rPr>
          <w:color w:val="000000"/>
        </w:rPr>
      </w:pPr>
      <w:bookmarkStart w:id="179" w:name="_DV_C64"/>
      <w:bookmarkStart w:id="180" w:name="_DV_IPM33"/>
      <w:bookmarkEnd w:id="180"/>
      <w:r>
        <w:rPr>
          <w:rStyle w:val="DeltaViewInsertion"/>
        </w:rPr>
        <w:tab/>
        <w:tab/>
        <w:t>Total</w:t>
        <w:tab/>
        <w:tab/>
        <w:tab/>
        <w:tab/>
        <w:tab/>
        <w:tab/>
      </w:r>
      <w:bookmarkEnd w:id="179"/>
    </w:p>
    <w:p>
      <w:pPr>
        <w:pStyle w:val="BodyText"/>
        <w:spacing w:before="0" w:after="0"/>
        <w:jc w:val="start"/>
        <w:rPr>
          <w:color w:val="000000"/>
        </w:rPr>
      </w:pPr>
      <w:r>
        <w:rPr>
          <w:color w:val="000000"/>
        </w:rPr>
      </w:r>
      <w:bookmarkStart w:id="181" w:name="_DV_IPM34"/>
      <w:bookmarkStart w:id="182" w:name="_DV_IPM34"/>
      <w:bookmarkEnd w:id="182"/>
    </w:p>
    <w:p>
      <w:pPr>
        <w:pStyle w:val="BodyText"/>
        <w:spacing w:before="0" w:after="0"/>
        <w:rPr>
          <w:color w:val="000000"/>
        </w:rPr>
      </w:pPr>
      <w:bookmarkStart w:id="183" w:name="_DV_C65"/>
      <w:bookmarkStart w:id="184" w:name="_DV_IPM35"/>
      <w:bookmarkEnd w:id="184"/>
      <w:r>
        <w:rPr>
          <w:rStyle w:val="DeltaViewInsertion"/>
        </w:rPr>
        <w:t>I ___________________, the ____________________ of The New Power Company, Inc. certify that the Substitution Amount, the amount of cash Collateral and Replacement Collateral posted to the Enron Parties hereunder, the daily cash forecast for the current month and the subsequent month and the Schedule of cash pledged as collateral or as deposit, are to the best of my knowledge true and correct and there is no Default under the Master Netting Agreement or the Security Agreement.</w:t>
      </w:r>
      <w:bookmarkEnd w:id="183"/>
    </w:p>
    <w:p>
      <w:pPr>
        <w:pStyle w:val="BodyText"/>
        <w:spacing w:before="0" w:after="0"/>
        <w:rPr>
          <w:color w:val="000000"/>
        </w:rPr>
      </w:pPr>
      <w:r>
        <w:rPr>
          <w:color w:val="000000"/>
        </w:rPr>
      </w:r>
      <w:bookmarkStart w:id="185" w:name="_DV_IPM36"/>
      <w:bookmarkStart w:id="186" w:name="_DV_IPM36"/>
      <w:bookmarkEnd w:id="186"/>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0" w:after="0"/>
        <w:rPr>
          <w:color w:val="000000"/>
        </w:rPr>
      </w:pPr>
      <w:bookmarkStart w:id="187" w:name="_DV_IPM37"/>
      <w:bookmarkEnd w:id="187"/>
      <w:r>
        <w:rPr>
          <w:color w:val="000000"/>
        </w:rPr>
        <w:tab/>
        <w:tab/>
        <w:tab/>
        <w:tab/>
        <w:tab/>
        <w:tab/>
      </w:r>
      <w:r>
        <w:rPr>
          <w:color w:val="000000"/>
          <w:u w:val="single"/>
        </w:rPr>
        <w:tab/>
        <w:tab/>
        <w:tab/>
        <w:tab/>
        <w:tab/>
        <w:tab/>
      </w:r>
    </w:p>
    <w:p>
      <w:pPr>
        <w:pStyle w:val="DeltaViewTableBody"/>
        <w:rPr/>
      </w:pPr>
      <w:bookmarkStart w:id="192" w:name="_DV_X0"/>
      <w:bookmarkEnd w:id="192"/>
      <w:r>
        <w:rPr/>
        <w:t xml:space="preserve">Document comparison done by </w:t>
      </w:r>
      <w:bookmarkStart w:id="193" w:name="Program"/>
      <w:r>
        <w:rPr/>
        <w:t>DeltaView</w:t>
      </w:r>
      <w:bookmarkEnd w:id="193"/>
      <w:r>
        <w:rPr/>
        <w:t xml:space="preserve"> on </w:t>
      </w:r>
      <w:bookmarkStart w:id="194" w:name="Date"/>
      <w:r>
        <w:rPr/>
        <w:t>Wednesday, October 03, 2001 12:59:53</w:t>
      </w:r>
      <w:bookmarkEnd w:id="194"/>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5" w:name="Doc1"/>
            <w:r>
              <w:rPr/>
              <w:t>pcdocs://HOU01/666861/3</w:t>
            </w:r>
            <w:bookmarkEnd w:id="195"/>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6" w:name="Doc2"/>
            <w:r>
              <w:rPr/>
              <w:t>pcdocs://HOU01/666861/4</w:t>
            </w:r>
            <w:bookmarkEnd w:id="196"/>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7" w:name="RenderingSet"/>
            <w:r>
              <w:rPr/>
              <w:t>Double Underline-Strikethrough</w:t>
            </w:r>
            <w:bookmarkEnd w:id="197"/>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198" w:name="Leg_Ins"/>
            <w:r>
              <w:rPr>
                <w:rStyle w:val="DeltaViewInsertion"/>
                <w:rFonts w:cs="Times New Roman" w:ascii="Times New Roman" w:hAnsi="Times New Roman"/>
                <w:color w:val="auto"/>
              </w:rPr>
              <w:t xml:space="preserve">Insertion </w:t>
            </w:r>
            <w:bookmarkEnd w:id="19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99" w:name="Leg_Del"/>
            <w:r>
              <w:rPr>
                <w:rStyle w:val="DeltaViewDeletion"/>
                <w:rFonts w:cs="Times New Roman" w:ascii="Times New Roman" w:hAnsi="Times New Roman"/>
                <w:color w:val="auto"/>
              </w:rPr>
              <w:t xml:space="preserve">Deletion </w:t>
            </w:r>
            <w:bookmarkEnd w:id="19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200" w:name="Leg_MoveSource"/>
            <w:r>
              <w:rPr>
                <w:rStyle w:val="DeltaViewMoveSource"/>
                <w:rFonts w:cs="Times New Roman" w:ascii="Times New Roman" w:hAnsi="Times New Roman"/>
                <w:color w:val="auto"/>
              </w:rPr>
              <w:t xml:space="preserve">Moved from </w:t>
            </w:r>
            <w:bookmarkEnd w:id="20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201" w:name="Leg_MoveDest"/>
            <w:r>
              <w:rPr>
                <w:rStyle w:val="DeltaViewMoveDestination"/>
                <w:rFonts w:cs="Times New Roman" w:ascii="Times New Roman" w:hAnsi="Times New Roman"/>
                <w:color w:val="auto"/>
              </w:rPr>
              <w:t xml:space="preserve">Moved to </w:t>
            </w:r>
            <w:bookmarkEnd w:id="20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202" w:name="Leg_FormatChange"/>
            <w:r>
              <w:rPr>
                <w:rStyle w:val="DeltaViewFormatChange"/>
                <w:rFonts w:cs="Times New Roman" w:ascii="Times New Roman" w:hAnsi="Times New Roman"/>
                <w:color w:val="auto"/>
                <w:highlight w:val="white"/>
              </w:rPr>
              <w:t xml:space="preserve">Format change </w:t>
            </w:r>
            <w:bookmarkEnd w:id="20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203" w:name="Cell_Ins"/>
            <w:bookmarkEnd w:id="203"/>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204" w:name="Cell_Del"/>
            <w:bookmarkEnd w:id="204"/>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205" w:name="Cell_Move"/>
            <w:bookmarkStart w:id="206" w:name="Cell_Move"/>
            <w:bookmarkEnd w:id="20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207" w:name="Cell_Merge"/>
            <w:bookmarkStart w:id="208" w:name="Cell_Merge"/>
            <w:bookmarkEnd w:id="20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209" w:name="Cell_Pad"/>
            <w:bookmarkStart w:id="210" w:name="Cell_Pad"/>
            <w:bookmarkEnd w:id="210"/>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1" w:name="Stat_Ins"/>
            <w:r>
              <w:rPr/>
              <w:t>51</w:t>
            </w:r>
            <w:bookmarkEnd w:id="21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2" w:name="Stat_InsP"/>
            <w:r>
              <w:rPr/>
              <w:t>14.98</w:t>
            </w:r>
            <w:bookmarkEnd w:id="21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3" w:name="Stat_Del"/>
            <w:r>
              <w:rPr/>
              <w:t>16</w:t>
            </w:r>
            <w:bookmarkEnd w:id="21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4" w:name="Stat_DelP"/>
            <w:r>
              <w:rPr/>
              <w:t>6.60</w:t>
            </w:r>
            <w:bookmarkEnd w:id="21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5" w:name="Stat_Move"/>
            <w:r>
              <w:rPr/>
              <w:t>0</w:t>
            </w:r>
            <w:bookmarkEnd w:id="21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6" w:name="Stat_MoveP"/>
            <w:r>
              <w:rPr/>
              <w:t>0.00</w:t>
            </w:r>
            <w:bookmarkEnd w:id="21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7" w:name="Stat_Match"/>
            <w:r>
              <w:rPr/>
              <w:t>29</w:t>
            </w:r>
            <w:bookmarkEnd w:id="21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8" w:name="Stat_MatchP"/>
            <w:r>
              <w:rPr/>
              <w:t>78.42</w:t>
            </w:r>
            <w:bookmarkEnd w:id="21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9" w:name="Stat_Change"/>
            <w:r>
              <w:rPr/>
              <w:t>0</w:t>
            </w:r>
            <w:bookmarkEnd w:id="21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20" w:name="Stat_ChangeP"/>
            <w:r>
              <w:rPr/>
              <w:t>0.00</w:t>
            </w:r>
            <w:bookmarkEnd w:id="220"/>
            <w:r>
              <w:rPr/>
              <w:t>%</w:t>
            </w:r>
          </w:p>
        </w:tc>
      </w:tr>
    </w:tbl>
    <w:p>
      <w:pPr>
        <w:pStyle w:val="DeltaViewTableBody"/>
        <w:rPr/>
      </w:pPr>
      <w:r>
        <w:rPr/>
      </w:r>
      <w:bookmarkStart w:id="221" w:name="_DV_X0"/>
      <w:bookmarkStart w:id="222" w:name="_DV_X0"/>
      <w:bookmarkEnd w:id="222"/>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COMMENTS </w:instrText>
    </w:r>
    <w:r>
      <w:rPr/>
      <w:fldChar w:fldCharType="separate"/>
    </w:r>
    <w:r>
      <w:rPr/>
      <w:t>HOU01:667008.1</w:t>
    </w:r>
    <w:r>
      <w:rPr/>
      <w:fldChar w:fldCharType="end"/>
    </w:r>
    <w:r>
      <w:rPr/>
      <w:t>HOU01:</w:t>
    </w:r>
    <w:bookmarkStart w:id="188" w:name="_DV_C1"/>
    <w:r>
      <w:rPr>
        <w:rStyle w:val="DeltaViewDeletion"/>
        <w:color w:val="auto"/>
      </w:rPr>
      <w:t>666861.3</w:t>
    </w:r>
    <w:bookmarkStart w:id="189" w:name="_DV_C2"/>
    <w:bookmarkEnd w:id="188"/>
    <w:r>
      <w:rPr>
        <w:rStyle w:val="DeltaViewInsertion"/>
        <w:color w:val="auto"/>
      </w:rPr>
      <w:t>666861.4</w:t>
      <w:tab/>
      <w:t>-</w:t>
    </w:r>
    <w:bookmarkStart w:id="190" w:name="_DV_C3"/>
    <w:bookmarkEnd w:id="189"/>
    <w:r>
      <w:rPr>
        <w:rStyle w:val="DeltaViewInsertion"/>
        <w:color w:val="auto"/>
        <w:sz w:val="24"/>
        <w:lang w:val="en-CA"/>
      </w:rPr>
      <w:fldChar w:fldCharType="begin"/>
    </w:r>
    <w:r>
      <w:rPr>
        <w:rStyle w:val="DeltaViewInsertion"/>
        <w:sz w:val="24"/>
        <w:color w:val="auto"/>
        <w:lang w:val="en-CA"/>
      </w:rPr>
      <w:instrText xml:space="preserve"> PAGE </w:instrText>
    </w:r>
    <w:r>
      <w:rPr>
        <w:rStyle w:val="DeltaViewInsertion"/>
        <w:sz w:val="24"/>
        <w:color w:val="auto"/>
        <w:lang w:val="en-CA"/>
      </w:rPr>
      <w:fldChar w:fldCharType="separate"/>
    </w:r>
    <w:r>
      <w:rPr>
        <w:rStyle w:val="DeltaViewInsertion"/>
        <w:sz w:val="24"/>
        <w:color w:val="auto"/>
        <w:lang w:val="en-CA"/>
      </w:rPr>
      <w:t>9</w:t>
    </w:r>
    <w:r>
      <w:rPr>
        <w:rStyle w:val="DeltaViewInsertion"/>
        <w:sz w:val="24"/>
        <w:color w:val="auto"/>
        <w:lang w:val="en-CA"/>
      </w:rPr>
      <w:fldChar w:fldCharType="end"/>
    </w:r>
    <w:bookmarkStart w:id="191" w:name="_DV_C4"/>
    <w:bookmarkEnd w:id="190"/>
    <w:r>
      <w:rPr>
        <w:rStyle w:val="DeltaViewInsertion"/>
        <w:color w:val="auto"/>
        <w:sz w:val="24"/>
      </w:rPr>
      <w:t>-</w:t>
    </w:r>
    <w:bookmarkEnd w:id="191"/>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start"/>
      <w:rPr/>
    </w:pPr>
    <w:r>
      <w:rPr/>
      <w:fldChar w:fldCharType="begin"/>
    </w:r>
    <w:r>
      <w:rPr/>
      <w:instrText xml:space="preserve"> COMMENTS </w:instrText>
    </w:r>
    <w:r>
      <w:rPr/>
      <w:fldChar w:fldCharType="separate"/>
    </w:r>
    <w:r>
      <w:rPr/>
      <w:t>HOU01:667008.1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outlineLvl w:val="0"/>
    </w:pPr>
    <w:rPr/>
  </w:style>
  <w:style w:type="paragraph" w:styleId="Heading2">
    <w:name w:val="heading 2"/>
    <w:basedOn w:val="Normal"/>
    <w:next w:val="BodyText"/>
    <w:qFormat/>
    <w:pPr>
      <w:keepNext w:val="true"/>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style>
  <w:style w:type="paragraph" w:styleId="Heading9">
    <w:name w:val="heading 9"/>
    <w:basedOn w:val="Normal"/>
    <w:next w:val="BodyText"/>
    <w:qFormat/>
    <w:pPr>
      <w:numPr>
        <w:ilvl w:val="8"/>
        <w:numId w:val="1"/>
      </w:numPr>
      <w:outlineLvl w:val="8"/>
    </w:pPr>
    <w:rPr/>
  </w:style>
  <w:style w:type="character" w:styleId="WW8Num2z0">
    <w:name w:val="WW8Num2z0"/>
    <w:qFormat/>
    <w:rPr>
      <w:b/>
      <w:color w:val="auto"/>
      <w:spacing w:val="0"/>
    </w:rPr>
  </w:style>
  <w:style w:type="character" w:styleId="WW8Num2z1">
    <w:name w:val="WW8Num2z1"/>
    <w:qFormat/>
    <w:rPr>
      <w:b w:val="false"/>
      <w:color w:val="auto"/>
      <w:spacing w:val="0"/>
      <w:u w:val="none"/>
    </w:rPr>
  </w:style>
  <w:style w:type="character" w:styleId="WW8Num2z2">
    <w:name w:val="WW8Num2z2"/>
    <w:qFormat/>
    <w:rPr>
      <w:color w:val="auto"/>
      <w:spacing w:val="0"/>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pacing w:val="0"/>
      <w:sz w:val="24"/>
    </w:rPr>
  </w:style>
  <w:style w:type="character" w:styleId="CommentReference">
    <w:name w:val="Comment Reference"/>
    <w:basedOn w:val="DefaultParagraphFont"/>
    <w:qFormat/>
    <w:rPr>
      <w:spacing w:val="0"/>
      <w:sz w:val="16"/>
    </w:rPr>
  </w:style>
  <w:style w:type="character" w:styleId="DeltaViewInsertion">
    <w:name w:val="DeltaView Insertion"/>
    <w:qFormat/>
    <w:rPr>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jc w:val="center"/>
    </w:pPr>
    <w:rPr>
      <w:b/>
      <w:kern w:val="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240"/>
    </w:pPr>
    <w:rPr>
      <w:b/>
    </w:rPr>
  </w:style>
  <w:style w:type="paragraph" w:styleId="Closing">
    <w:name w:val="Closing"/>
    <w:basedOn w:val="Normal"/>
    <w:qFormat/>
    <w:pPr>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ind w:firstLine="72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ind w:firstLine="720" w:start="720" w:end="0"/>
    </w:pPr>
    <w:rPr/>
  </w:style>
  <w:style w:type="paragraph" w:styleId="BodyText3">
    <w:name w:val="Body Text 3"/>
    <w:basedOn w:val="Normal"/>
    <w:qFormat/>
    <w:pPr/>
    <w:rPr/>
  </w:style>
  <w:style w:type="paragraph" w:styleId="BodyTextIndent">
    <w:name w:val="Body Text Indent"/>
    <w:basedOn w:val="Normal"/>
    <w:pPr>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2">
    <w:name w:val="Signature 2"/>
    <w:basedOn w:val="Signature"/>
    <w:qFormat/>
    <w:pPr>
      <w:keepNext w:val="true"/>
      <w:spacing w:before="0" w:after="0"/>
      <w:ind w:hanging="0" w:start="4320" w:end="0"/>
    </w:pPr>
    <w:rPr/>
  </w:style>
  <w:style w:type="paragraph" w:styleId="CommentText">
    <w:name w:val="Comment Text"/>
    <w:basedOn w:val="Normal"/>
    <w:qFormat/>
    <w:pPr/>
    <w:rPr>
      <w:sz w:val="20"/>
    </w:rPr>
  </w:style>
  <w:style w:type="paragraph" w:styleId="DeltaViewTableHeading">
    <w:name w:val="DeltaView Table Heading"/>
    <w:basedOn w:val="Normal"/>
    <w:qFormat/>
    <w:pPr>
      <w:spacing w:before="0" w:after="120"/>
      <w:jc w:val="start"/>
    </w:pPr>
    <w:rPr>
      <w:rFonts w:ascii="Arial" w:hAnsi="Arial" w:cs="Arial"/>
      <w:b/>
    </w:rPr>
  </w:style>
  <w:style w:type="paragraph" w:styleId="DeltaViewTableBody">
    <w:name w:val="DeltaView Table Body"/>
    <w:basedOn w:val="Normal"/>
    <w:qFormat/>
    <w:pPr>
      <w:spacing w:before="0" w:after="0"/>
      <w:jc w:val="star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DocumentMap">
    <w:name w:val="Document Map"/>
    <w:basedOn w:val="Normal"/>
    <w:qFormat/>
    <w:pPr>
      <w:shd w:fill="000080" w:val="clear"/>
      <w:spacing w:before="0" w:after="0"/>
      <w:jc w:val="start"/>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2001-10-03T15:31:00Z</dcterms:created>
  <dc:creator> </dc:creator>
  <dc:description>HOU01:667008.1</dc:description>
  <dc:language>en-CA</dc:language>
  <cp:lastModifiedBy> </cp:lastModifiedBy>
  <cp:lastPrinted>2001-10-03T12:43:00Z</cp:lastPrinted>
  <dcterms:modified xsi:type="dcterms:W3CDTF">2001-10-03T15:31:00Z</dcterms:modified>
  <cp:revision>2</cp:revision>
  <dc:subject/>
  <dc:title>SECOND 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PaperType">
    <vt:lpwstr>Letter (Draft)</vt:lpwstr>
  </property>
</Properties>
</file>