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numPr>
          <w:ilvl w:val="0"/>
          <w:numId w:val="0"/>
        </w:numPr>
        <w:spacing w:before="0" w:after="0"/>
        <w:ind w:hanging="0" w:start="0"/>
        <w:rPr>
          <w:b/>
          <w:bCs/>
          <w:kern w:val="0"/>
          <w:u w:val="single"/>
        </w:rPr>
      </w:pPr>
      <w:bookmarkStart w:id="0" w:name="_DV_M0"/>
      <w:bookmarkEnd w:id="0"/>
      <w:r>
        <w:rPr>
          <w:b/>
          <w:bCs/>
          <w:kern w:val="0"/>
          <w:u w:val="single"/>
        </w:rPr>
        <w:t>STOCKHOLDERS’ AGREEMENT</w:t>
      </w:r>
    </w:p>
    <w:p>
      <w:pPr>
        <w:pStyle w:val="Normal"/>
        <w:rPr>
          <w:b/>
          <w:bCs/>
          <w:kern w:val="0"/>
          <w:u w:val="single"/>
        </w:rPr>
      </w:pPr>
      <w:r>
        <w:rPr>
          <w:b/>
          <w:bCs/>
          <w:kern w:val="0"/>
          <w:u w:val="single"/>
        </w:rPr>
      </w:r>
    </w:p>
    <w:p>
      <w:pPr>
        <w:pStyle w:val="Normal"/>
        <w:rPr/>
      </w:pPr>
      <w:r>
        <w:rPr/>
      </w:r>
    </w:p>
    <w:p>
      <w:pPr>
        <w:pStyle w:val="Normal"/>
        <w:ind w:firstLine="720" w:end="0"/>
        <w:jc w:val="both"/>
        <w:rPr>
          <w:color w:val="000000"/>
        </w:rPr>
      </w:pPr>
      <w:bookmarkStart w:id="1" w:name="_DV_M1"/>
      <w:bookmarkEnd w:id="1"/>
      <w:r>
        <w:rPr/>
        <w:t>STOCKHOLDERS’ AGREEMENT dated as of _____________, 2001, by and among KIODEX, INC., a Delaware corporation (the “</w:t>
      </w:r>
      <w:r>
        <w:rPr>
          <w:u w:val="single"/>
        </w:rPr>
        <w:t>Company</w:t>
      </w:r>
      <w:r>
        <w:rPr/>
        <w:t>”); R. Martin Chavez and Raj Mahajan, (collectively, the “</w:t>
      </w:r>
      <w:r>
        <w:rPr>
          <w:u w:val="single"/>
        </w:rPr>
        <w:t>Founders</w:t>
      </w:r>
      <w:r>
        <w:rPr/>
        <w:t>”); and Enron Net Works Investments LLC, a Delaware limited liability company (the “</w:t>
      </w:r>
      <w:r>
        <w:rPr>
          <w:u w:val="single"/>
        </w:rPr>
        <w:t>Investor</w:t>
      </w:r>
      <w:r>
        <w:rPr/>
        <w:t>”, and together with the Founders, the “</w:t>
      </w:r>
      <w:r>
        <w:rPr>
          <w:u w:val="single"/>
        </w:rPr>
        <w:t>Stockholders</w:t>
      </w:r>
      <w:r>
        <w:rPr/>
        <w:t>”).</w:t>
      </w:r>
      <w:bookmarkStart w:id="2" w:name="_DV_C7"/>
      <w:r>
        <w:rPr>
          <w:rStyle w:val="DeltaViewInsertion"/>
        </w:rPr>
        <w:t xml:space="preserve">  </w:t>
      </w:r>
      <w:r>
        <w:rPr>
          <w:rStyle w:val="DeltaViewInsertion"/>
          <w:i/>
          <w:iCs/>
        </w:rPr>
        <w:t>[We may have comments on the parties once we see the revised capitalization table]</w:t>
      </w:r>
      <w:r>
        <w:rPr>
          <w:rStyle w:val="DeltaViewInsertion"/>
        </w:rPr>
        <w:t>.</w:t>
      </w:r>
      <w:bookmarkStart w:id="3" w:name="_DV_M2"/>
      <w:bookmarkEnd w:id="2"/>
      <w:bookmarkEnd w:id="3"/>
    </w:p>
    <w:p>
      <w:pPr>
        <w:pStyle w:val="Normal"/>
        <w:ind w:firstLine="720" w:end="0"/>
        <w:jc w:val="both"/>
        <w:rPr>
          <w:color w:val="000000"/>
        </w:rPr>
      </w:pPr>
      <w:r>
        <w:rPr>
          <w:color w:val="000000"/>
        </w:rPr>
      </w:r>
    </w:p>
    <w:p>
      <w:pPr>
        <w:pStyle w:val="Normal"/>
        <w:ind w:firstLine="720" w:end="0"/>
        <w:jc w:val="both"/>
        <w:rPr/>
      </w:pPr>
      <w:bookmarkStart w:id="4" w:name="_DV_M3"/>
      <w:bookmarkEnd w:id="4"/>
      <w:r>
        <w:rPr>
          <w:color w:val="000000"/>
        </w:rPr>
        <w:t>WHEREAS, the Stockholders are the holders of shares of Common Stock, par value $.001 per share (“</w:t>
      </w:r>
      <w:r>
        <w:rPr>
          <w:color w:val="000000"/>
          <w:u w:val="single"/>
        </w:rPr>
        <w:t>Common Stock</w:t>
      </w:r>
      <w:r>
        <w:rPr>
          <w:color w:val="000000"/>
        </w:rPr>
        <w:t>”), of the Company;</w:t>
      </w:r>
    </w:p>
    <w:p>
      <w:pPr>
        <w:pStyle w:val="Normal"/>
        <w:ind w:firstLine="720" w:end="0"/>
        <w:jc w:val="both"/>
        <w:rPr>
          <w:color w:val="000000"/>
        </w:rPr>
      </w:pPr>
      <w:r>
        <w:rPr>
          <w:color w:val="000000"/>
        </w:rPr>
      </w:r>
    </w:p>
    <w:p>
      <w:pPr>
        <w:pStyle w:val="VEBodyText"/>
        <w:spacing w:before="0" w:after="0"/>
        <w:ind w:firstLine="720" w:end="0"/>
        <w:rPr>
          <w:color w:val="000000"/>
        </w:rPr>
      </w:pPr>
      <w:bookmarkStart w:id="5" w:name="_DV_M4"/>
      <w:bookmarkEnd w:id="5"/>
      <w:r>
        <w:rPr>
          <w:color w:val="000000"/>
        </w:rPr>
        <w:t xml:space="preserve">WHEREAS, pursuant to a Common Stock Purchase Agreement, dated as of </w:t>
      </w:r>
      <w:bookmarkStart w:id="6" w:name="_DV_C8"/>
      <w:r>
        <w:rPr>
          <w:rStyle w:val="DeltaViewDeletion"/>
        </w:rPr>
        <w:t>______________, 2001</w:t>
      </w:r>
      <w:bookmarkStart w:id="7" w:name="_DV_C9"/>
      <w:bookmarkEnd w:id="6"/>
      <w:r>
        <w:rPr>
          <w:rStyle w:val="DeltaViewInsertion"/>
        </w:rPr>
        <w:t>even date herewith</w:t>
      </w:r>
      <w:bookmarkStart w:id="8" w:name="_DV_M5"/>
      <w:bookmarkEnd w:id="7"/>
      <w:bookmarkEnd w:id="8"/>
      <w:r>
        <w:rPr>
          <w:color w:val="000000"/>
        </w:rPr>
        <w:t xml:space="preserve"> (the “</w:t>
      </w:r>
      <w:r>
        <w:rPr>
          <w:color w:val="000000"/>
          <w:u w:val="single"/>
        </w:rPr>
        <w:t>Stock Purchase Agreement</w:t>
      </w:r>
      <w:r>
        <w:rPr>
          <w:color w:val="000000"/>
        </w:rPr>
        <w:t>”), between the Company and the Investor, the Company issued and sold to the Investor an aggregate of 3,799,353 shares of Common Stock</w:t>
      </w:r>
      <w:bookmarkStart w:id="9" w:name="_DV_C10"/>
      <w:r>
        <w:rPr>
          <w:rStyle w:val="DeltaViewDeletion"/>
        </w:rPr>
        <w:t>, and</w:t>
      </w:r>
      <w:bookmarkStart w:id="10" w:name="_DV_C11"/>
      <w:bookmarkEnd w:id="9"/>
      <w:r>
        <w:rPr>
          <w:rStyle w:val="DeltaViewInsertion"/>
        </w:rPr>
        <w:t>;</w:t>
      </w:r>
      <w:bookmarkEnd w:id="10"/>
    </w:p>
    <w:p>
      <w:pPr>
        <w:pStyle w:val="VEBodyText"/>
        <w:spacing w:before="0" w:after="0"/>
        <w:ind w:firstLine="720" w:end="0"/>
        <w:rPr>
          <w:color w:val="000000"/>
        </w:rPr>
      </w:pPr>
      <w:r>
        <w:rPr>
          <w:color w:val="000000"/>
        </w:rPr>
      </w:r>
      <w:bookmarkStart w:id="11" w:name="_DV_IPM0"/>
      <w:bookmarkStart w:id="12" w:name="_DV_IPM0"/>
      <w:bookmarkEnd w:id="12"/>
    </w:p>
    <w:p>
      <w:pPr>
        <w:pStyle w:val="VEBodyText"/>
        <w:spacing w:before="0" w:after="0"/>
        <w:ind w:firstLine="720" w:end="0"/>
        <w:rPr/>
      </w:pPr>
      <w:bookmarkStart w:id="13" w:name="_DV_C12"/>
      <w:bookmarkStart w:id="14" w:name="_DV_IPM1"/>
      <w:bookmarkEnd w:id="14"/>
      <w:r>
        <w:rPr>
          <w:rStyle w:val="DeltaViewInsertion"/>
        </w:rPr>
        <w:t>WHEREAS</w:t>
      </w:r>
      <w:bookmarkStart w:id="15" w:name="_DV_M6"/>
      <w:bookmarkEnd w:id="13"/>
      <w:bookmarkEnd w:id="15"/>
      <w:r>
        <w:rPr>
          <w:color w:val="000000"/>
        </w:rPr>
        <w:t>, pursuant to a Co-Marketing Agreement, dated as of even date herewith, between the Company and the Investor</w:t>
      </w:r>
      <w:bookmarkStart w:id="16" w:name="_DV_C13"/>
      <w:r>
        <w:rPr>
          <w:rStyle w:val="DeltaViewInsertion"/>
        </w:rPr>
        <w:t xml:space="preserve"> (the “Co-Marketing Agreement”)</w:t>
      </w:r>
      <w:bookmarkStart w:id="17" w:name="_DV_M7"/>
      <w:bookmarkEnd w:id="16"/>
      <w:bookmarkEnd w:id="17"/>
      <w:r>
        <w:rPr>
          <w:color w:val="000000"/>
        </w:rPr>
        <w:t>, the Company has issued to the Investor warrants to purchase up to 2,279,613 shares of Common Stock of the Company; and</w:t>
      </w:r>
    </w:p>
    <w:p>
      <w:pPr>
        <w:pStyle w:val="Normal"/>
        <w:ind w:firstLine="720" w:end="0"/>
        <w:jc w:val="both"/>
        <w:rPr>
          <w:color w:val="000000"/>
        </w:rPr>
      </w:pPr>
      <w:r>
        <w:rPr>
          <w:color w:val="000000"/>
        </w:rPr>
      </w:r>
    </w:p>
    <w:p>
      <w:pPr>
        <w:pStyle w:val="Normal"/>
        <w:ind w:firstLine="720" w:end="0"/>
        <w:jc w:val="both"/>
        <w:rPr>
          <w:color w:val="000000"/>
        </w:rPr>
      </w:pPr>
      <w:bookmarkStart w:id="18" w:name="_DV_M8"/>
      <w:bookmarkEnd w:id="18"/>
      <w:r>
        <w:rPr>
          <w:color w:val="000000"/>
        </w:rPr>
        <w:t>WHEREAS, the Investor has required, as a condition to the consummation of the transactions contemplated by the Stock Purchase Agreement, that the parties hereto enter into this Agreement to, among other things, provide for continuity of ownership of the Company, certain restrictions on transferability of shares held by the Stockholders and to further the interests of the Company and the Stockholders;</w:t>
      </w:r>
    </w:p>
    <w:p>
      <w:pPr>
        <w:pStyle w:val="Normal"/>
        <w:ind w:firstLine="720" w:end="0"/>
        <w:jc w:val="both"/>
        <w:rPr>
          <w:color w:val="000000"/>
        </w:rPr>
      </w:pPr>
      <w:r>
        <w:rPr>
          <w:color w:val="000000"/>
        </w:rPr>
      </w:r>
    </w:p>
    <w:p>
      <w:pPr>
        <w:pStyle w:val="Normal"/>
        <w:ind w:firstLine="720" w:end="0"/>
        <w:jc w:val="both"/>
        <w:rPr>
          <w:color w:val="000000"/>
        </w:rPr>
      </w:pPr>
      <w:bookmarkStart w:id="19" w:name="_DV_M9"/>
      <w:bookmarkEnd w:id="19"/>
      <w:r>
        <w:rPr>
          <w:color w:val="000000"/>
        </w:rPr>
        <w:t>NOW, THEREFORE, in consideration of the mutual covenants contained herein and in the Stock Purchase Agreement, and the parties’ desire to provide for continuity of ownership of the Company to further the interests of the Company and the Stockholders, the parties hereto agree as follows:</w:t>
      </w:r>
    </w:p>
    <w:p>
      <w:pPr>
        <w:pStyle w:val="Normal"/>
        <w:ind w:firstLine="720" w:end="0"/>
        <w:jc w:val="both"/>
        <w:rPr>
          <w:color w:val="000000"/>
        </w:rPr>
      </w:pPr>
      <w:r>
        <w:rPr>
          <w:color w:val="000000"/>
        </w:rPr>
      </w:r>
    </w:p>
    <w:p>
      <w:pPr>
        <w:pStyle w:val="Heading3"/>
        <w:numPr>
          <w:ilvl w:val="2"/>
          <w:numId w:val="2"/>
        </w:numPr>
        <w:rPr>
          <w:color w:val="000000"/>
        </w:rPr>
      </w:pPr>
      <w:bookmarkStart w:id="20" w:name="_DV_M10"/>
      <w:bookmarkEnd w:id="20"/>
      <w:r>
        <w:rPr>
          <w:b/>
          <w:bCs/>
          <w:i/>
          <w:iCs/>
          <w:color w:val="000000"/>
          <w:u w:val="single"/>
        </w:rPr>
        <w:t>Certain Defined Terms</w:t>
      </w:r>
      <w:r>
        <w:rPr>
          <w:b/>
          <w:bCs/>
          <w:i/>
          <w:iCs/>
          <w:color w:val="000000"/>
        </w:rPr>
        <w:t>.</w:t>
      </w:r>
      <w:bookmarkStart w:id="21" w:name="_DV_M11"/>
      <w:bookmarkEnd w:id="21"/>
      <w:r>
        <w:rPr>
          <w:color w:val="000000"/>
        </w:rPr>
        <w:t xml:space="preserve">  As used in this Agreement, the following terms shall have the following meanings:</w:t>
      </w:r>
    </w:p>
    <w:p>
      <w:pPr>
        <w:pStyle w:val="Heading4"/>
        <w:numPr>
          <w:ilvl w:val="3"/>
          <w:numId w:val="2"/>
        </w:numPr>
        <w:tabs>
          <w:tab w:val="clear" w:pos="2520"/>
        </w:tabs>
        <w:ind w:firstLine="1440" w:end="0"/>
        <w:rPr>
          <w:color w:val="000000"/>
        </w:rPr>
      </w:pPr>
      <w:bookmarkStart w:id="22" w:name="_DV_M12"/>
      <w:bookmarkEnd w:id="22"/>
      <w:r>
        <w:rPr>
          <w:color w:val="000000"/>
        </w:rPr>
        <w:t>“</w:t>
      </w:r>
      <w:r>
        <w:rPr>
          <w:color w:val="000000"/>
          <w:u w:val="single"/>
        </w:rPr>
        <w:t>Affiliate</w:t>
      </w:r>
      <w:r>
        <w:rPr>
          <w:color w:val="000000"/>
        </w:rPr>
        <w:t>” shall mean, with respect to any person or entity, (i) any person or entity that directly, or indirectly through one or more intermediaries, controls, is controlled by or is under common control with such person or entity 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Heading4"/>
        <w:numPr>
          <w:ilvl w:val="3"/>
          <w:numId w:val="2"/>
        </w:numPr>
        <w:tabs>
          <w:tab w:val="clear" w:pos="2520"/>
        </w:tabs>
        <w:ind w:firstLine="1440" w:end="0"/>
        <w:rPr>
          <w:color w:val="000000"/>
        </w:rPr>
      </w:pPr>
      <w:bookmarkStart w:id="23" w:name="_DV_M13"/>
      <w:bookmarkEnd w:id="23"/>
      <w:r>
        <w:rPr>
          <w:color w:val="000000"/>
        </w:rPr>
        <w:t>“</w:t>
      </w:r>
      <w:r>
        <w:rPr>
          <w:color w:val="000000"/>
          <w:u w:val="single"/>
        </w:rPr>
        <w:t>Certificate of Incorporation</w:t>
      </w:r>
      <w:r>
        <w:rPr>
          <w:color w:val="000000"/>
        </w:rPr>
        <w:t xml:space="preserve">” shall mean the </w:t>
      </w:r>
      <w:bookmarkStart w:id="24" w:name="_DV_C14"/>
      <w:r>
        <w:rPr>
          <w:rStyle w:val="DeltaViewDeletion"/>
        </w:rPr>
        <w:t>[</w:t>
      </w:r>
      <w:bookmarkStart w:id="25" w:name="_DV_M14"/>
      <w:bookmarkEnd w:id="24"/>
      <w:bookmarkEnd w:id="25"/>
      <w:r>
        <w:rPr>
          <w:color w:val="000000"/>
        </w:rPr>
        <w:t>Amended and Restated</w:t>
      </w:r>
      <w:bookmarkStart w:id="26" w:name="_DV_C15"/>
      <w:r>
        <w:rPr>
          <w:rStyle w:val="DeltaViewDeletion"/>
        </w:rPr>
        <w:t>]</w:t>
      </w:r>
      <w:bookmarkStart w:id="27" w:name="_DV_M15"/>
      <w:bookmarkEnd w:id="26"/>
      <w:bookmarkEnd w:id="27"/>
      <w:r>
        <w:rPr>
          <w:color w:val="000000"/>
        </w:rPr>
        <w:t xml:space="preserve"> Certificate of Incorporation, filed by the Company with the Secretary of State of the State of Delaware on </w:t>
      </w:r>
      <w:bookmarkStart w:id="28" w:name="_DV_C16"/>
      <w:r>
        <w:rPr>
          <w:rStyle w:val="DeltaViewDeletion"/>
          <w:u w:val="single"/>
        </w:rPr>
        <w:t xml:space="preserve">  </w:t>
      </w:r>
      <w:r>
        <w:rPr>
          <w:rStyle w:val="DeltaViewDeletion"/>
        </w:rPr>
        <w:t>,</w:t>
      </w:r>
      <w:bookmarkStart w:id="29" w:name="_DV_C17"/>
      <w:bookmarkEnd w:id="28"/>
      <w:r>
        <w:rPr>
          <w:rStyle w:val="DeltaViewInsertion"/>
        </w:rPr>
        <w:t>August 28, 2000,</w:t>
      </w:r>
      <w:bookmarkStart w:id="30" w:name="_DV_M16"/>
      <w:bookmarkEnd w:id="29"/>
      <w:bookmarkEnd w:id="30"/>
      <w:r>
        <w:rPr>
          <w:color w:val="000000"/>
        </w:rPr>
        <w:t xml:space="preserve"> as the same may be amended from time to time.</w:t>
      </w:r>
    </w:p>
    <w:p>
      <w:pPr>
        <w:pStyle w:val="Heading4"/>
        <w:numPr>
          <w:ilvl w:val="3"/>
          <w:numId w:val="2"/>
        </w:numPr>
        <w:tabs>
          <w:tab w:val="clear" w:pos="2520"/>
        </w:tabs>
        <w:ind w:firstLine="1440" w:end="0"/>
        <w:rPr>
          <w:color w:val="000000"/>
        </w:rPr>
      </w:pPr>
      <w:bookmarkStart w:id="31" w:name="_DV_M17"/>
      <w:bookmarkEnd w:id="31"/>
      <w:r>
        <w:rPr>
          <w:color w:val="000000"/>
        </w:rPr>
        <w:t>“</w:t>
      </w:r>
      <w:r>
        <w:rPr>
          <w:color w:val="000000"/>
          <w:u w:val="single"/>
        </w:rPr>
        <w:t>Group</w:t>
      </w:r>
      <w:r>
        <w:rPr>
          <w:color w:val="000000"/>
        </w:rPr>
        <w:t>” shall mean, with respect to a person, any of the following: such person; a spouse, domestic partner, lineal ancestor or descendant, brother or sister of such person; a transferee upon the death of such person by way of will or the laws of descent and distribution; a trust for the benefit of such person or a member of such person’s Group; or a family limited partnership or family limited liability company organized for the benefit of such person’s Group or members thereof by such person or a member of such person’s Group.  When such term is used for purposes of aggregating the holdings of a certain person’s Group, then the holdings of such person and all members of his Group shall be aggregated.  A person or entity can be a member of more than one Group for purposes of this Agreement.</w:t>
      </w:r>
    </w:p>
    <w:p>
      <w:pPr>
        <w:pStyle w:val="Heading4"/>
        <w:numPr>
          <w:ilvl w:val="3"/>
          <w:numId w:val="2"/>
        </w:numPr>
        <w:tabs>
          <w:tab w:val="clear" w:pos="2520"/>
        </w:tabs>
        <w:ind w:firstLine="1440" w:end="0"/>
        <w:rPr>
          <w:color w:val="000000"/>
        </w:rPr>
      </w:pPr>
      <w:bookmarkStart w:id="32" w:name="_DV_M18"/>
      <w:bookmarkEnd w:id="32"/>
      <w:r>
        <w:rPr>
          <w:color w:val="000000"/>
        </w:rPr>
        <w:t>“</w:t>
      </w:r>
      <w:r>
        <w:rPr>
          <w:color w:val="000000"/>
          <w:u w:val="single"/>
        </w:rPr>
        <w:t>Investor Designee</w:t>
      </w:r>
      <w:r>
        <w:rPr>
          <w:color w:val="000000"/>
        </w:rPr>
        <w:t>” shall have the meaning set forth in Section 2(a).</w:t>
      </w:r>
    </w:p>
    <w:p>
      <w:pPr>
        <w:pStyle w:val="Heading4"/>
        <w:numPr>
          <w:ilvl w:val="3"/>
          <w:numId w:val="2"/>
        </w:numPr>
        <w:tabs>
          <w:tab w:val="clear" w:pos="2520"/>
        </w:tabs>
        <w:ind w:firstLine="1440" w:end="0"/>
        <w:rPr>
          <w:color w:val="000000"/>
        </w:rPr>
      </w:pPr>
      <w:bookmarkStart w:id="33" w:name="_DV_M19"/>
      <w:bookmarkEnd w:id="33"/>
      <w:r>
        <w:rPr>
          <w:color w:val="000000"/>
        </w:rPr>
        <w:t>“</w:t>
      </w:r>
      <w:r>
        <w:rPr>
          <w:color w:val="000000"/>
          <w:u w:val="single"/>
        </w:rPr>
        <w:t>Securities</w:t>
      </w:r>
      <w:r>
        <w:rPr>
          <w:color w:val="000000"/>
        </w:rPr>
        <w:t>” shall mean all Shares and all other securities of the Company which shall at any time be exercisable for, convertible into or exchangeable for Common Stock of the Company, or entitled to vote together with shares of Common Stock, or issued in exchange for or in respect of shares of Common Stock (whether by way of stock split, stock dividend, combination, reclassification or any other means).</w:t>
      </w:r>
    </w:p>
    <w:p>
      <w:pPr>
        <w:pStyle w:val="Heading4"/>
        <w:numPr>
          <w:ilvl w:val="3"/>
          <w:numId w:val="2"/>
        </w:numPr>
        <w:tabs>
          <w:tab w:val="clear" w:pos="2520"/>
        </w:tabs>
        <w:ind w:firstLine="1440" w:end="0"/>
        <w:rPr>
          <w:color w:val="000000"/>
        </w:rPr>
      </w:pPr>
      <w:bookmarkStart w:id="34" w:name="_DV_M20"/>
      <w:bookmarkEnd w:id="34"/>
      <w:r>
        <w:rPr>
          <w:color w:val="000000"/>
        </w:rPr>
        <w:t>“</w:t>
      </w:r>
      <w:r>
        <w:rPr>
          <w:color w:val="000000"/>
          <w:u w:val="single"/>
        </w:rPr>
        <w:t>Shares</w:t>
      </w:r>
      <w:r>
        <w:rPr>
          <w:color w:val="000000"/>
        </w:rPr>
        <w:t>” shall mean all shares of Common Stock now owned or hereafter acquired by any Stockholder and, with respect to Section 2 hereof, any shares of Common Stock which a Stockholder has the right or power to vote.</w:t>
      </w:r>
    </w:p>
    <w:p>
      <w:pPr>
        <w:pStyle w:val="Heading4"/>
        <w:numPr>
          <w:ilvl w:val="3"/>
          <w:numId w:val="2"/>
        </w:numPr>
        <w:tabs>
          <w:tab w:val="clear" w:pos="2520"/>
        </w:tabs>
        <w:ind w:firstLine="1440" w:end="0"/>
        <w:rPr>
          <w:color w:val="000000"/>
        </w:rPr>
      </w:pPr>
      <w:bookmarkStart w:id="35" w:name="_DV_M21"/>
      <w:bookmarkEnd w:id="35"/>
      <w:r>
        <w:rPr>
          <w:color w:val="000000"/>
        </w:rPr>
        <w:t>“</w:t>
      </w:r>
      <w:r>
        <w:rPr>
          <w:color w:val="000000"/>
          <w:u w:val="single"/>
        </w:rPr>
        <w:t>Total Stock</w:t>
      </w:r>
      <w:r>
        <w:rPr>
          <w:color w:val="000000"/>
        </w:rPr>
        <w:t xml:space="preserve">” shall mean Securities then outstanding at the date of determination, and then exercisable for, convertible into, exchangeable for or entitled to vote together with shares of Common Stock, calculated with respect to the number of votes to which such Securities are entitled on an as-converted and as-exercised basis. </w:t>
      </w:r>
    </w:p>
    <w:p>
      <w:pPr>
        <w:pStyle w:val="Heading4"/>
        <w:numPr>
          <w:ilvl w:val="3"/>
          <w:numId w:val="2"/>
        </w:numPr>
        <w:tabs>
          <w:tab w:val="clear" w:pos="2520"/>
        </w:tabs>
        <w:ind w:firstLine="1440" w:end="0"/>
        <w:rPr>
          <w:color w:val="000000"/>
        </w:rPr>
      </w:pPr>
      <w:bookmarkStart w:id="36" w:name="_DV_M22"/>
      <w:bookmarkEnd w:id="36"/>
      <w:r>
        <w:rPr>
          <w:color w:val="000000"/>
        </w:rPr>
        <w:t>“</w:t>
      </w:r>
      <w:r>
        <w:rPr>
          <w:color w:val="000000"/>
          <w:u w:val="single"/>
        </w:rPr>
        <w:t>Transfer</w:t>
      </w:r>
      <w:r>
        <w:rPr>
          <w:color w:val="000000"/>
        </w:rPr>
        <w:t>” shall mean to transfer, sell, assign, pledge, hypothecate, give, create a security interest in or lien on, place in trust (voting or otherwise), assign or in any way encumber or dispose of for value.</w:t>
      </w:r>
    </w:p>
    <w:p>
      <w:pPr>
        <w:pStyle w:val="Heading3"/>
        <w:numPr>
          <w:ilvl w:val="2"/>
          <w:numId w:val="2"/>
        </w:numPr>
        <w:rPr>
          <w:b/>
          <w:bCs/>
          <w:i/>
          <w:i/>
          <w:iCs/>
          <w:color w:val="000000"/>
        </w:rPr>
      </w:pPr>
      <w:bookmarkStart w:id="37" w:name="_DV_M23"/>
      <w:bookmarkEnd w:id="37"/>
      <w:r>
        <w:rPr>
          <w:b/>
          <w:bCs/>
          <w:i/>
          <w:iCs/>
          <w:color w:val="000000"/>
          <w:u w:val="single"/>
        </w:rPr>
        <w:t>Election of Directors</w:t>
      </w:r>
      <w:r>
        <w:rPr>
          <w:b/>
          <w:bCs/>
          <w:i/>
          <w:iCs/>
          <w:color w:val="000000"/>
        </w:rPr>
        <w:t>.</w:t>
      </w:r>
    </w:p>
    <w:p>
      <w:pPr>
        <w:pStyle w:val="Heading4"/>
        <w:numPr>
          <w:ilvl w:val="3"/>
          <w:numId w:val="2"/>
        </w:numPr>
        <w:rPr>
          <w:color w:val="000000"/>
        </w:rPr>
      </w:pPr>
      <w:bookmarkStart w:id="38" w:name="_DV_M24"/>
      <w:bookmarkEnd w:id="38"/>
      <w:r>
        <w:rPr>
          <w:color w:val="000000"/>
        </w:rPr>
        <w:t>At each annual meeting of the stockholders of the Company, and at each special meeting of the stockholders of the Company called for the purpose of electing directors of the Company, and at any time at which stockholders of the Company shall have the right to, or shall, vote for directors of the Company, then, and in each event, the Stockholders hereby agree to vote or cause to be voted all Securities owned by them (or any Securities which they have the power to vote) (or act by written consent with respect to such Securities) for the election of a Board of Directors of the Company, in the following manner:</w:t>
      </w:r>
    </w:p>
    <w:p>
      <w:pPr>
        <w:pStyle w:val="Heading5"/>
        <w:numPr>
          <w:ilvl w:val="4"/>
          <w:numId w:val="2"/>
        </w:numPr>
        <w:tabs>
          <w:tab w:val="clear" w:pos="3600"/>
        </w:tabs>
        <w:ind w:firstLine="720" w:start="1440" w:end="0"/>
        <w:jc w:val="both"/>
        <w:rPr>
          <w:color w:val="000000"/>
        </w:rPr>
      </w:pPr>
      <w:bookmarkStart w:id="39" w:name="_DV_M25"/>
      <w:bookmarkEnd w:id="39"/>
      <w:r>
        <w:rPr>
          <w:color w:val="000000"/>
        </w:rPr>
        <w:t>four persons designated by the Founders holding a plurality of the Shares held by all Founders (the “</w:t>
      </w:r>
      <w:r>
        <w:rPr>
          <w:color w:val="000000"/>
          <w:u w:val="single"/>
        </w:rPr>
        <w:t>Founder Designees</w:t>
      </w:r>
      <w:r>
        <w:rPr>
          <w:color w:val="000000"/>
        </w:rPr>
        <w:t>”), which designees shall initially be R. Martin Chavez, Raj Mahajan, Addison Armstrong and Scott Marinchek; and</w:t>
      </w:r>
    </w:p>
    <w:p>
      <w:pPr>
        <w:pStyle w:val="Heading5"/>
        <w:numPr>
          <w:ilvl w:val="4"/>
          <w:numId w:val="2"/>
        </w:numPr>
        <w:tabs>
          <w:tab w:val="clear" w:pos="3600"/>
        </w:tabs>
        <w:ind w:firstLine="720" w:start="1440" w:end="0"/>
        <w:jc w:val="both"/>
        <w:rPr>
          <w:color w:val="000000"/>
        </w:rPr>
      </w:pPr>
      <w:bookmarkStart w:id="40" w:name="_DV_M26"/>
      <w:bookmarkEnd w:id="40"/>
      <w:r>
        <w:rPr>
          <w:color w:val="000000"/>
        </w:rPr>
        <w:t>one person to be designated by the Investor (the “</w:t>
      </w:r>
      <w:r>
        <w:rPr>
          <w:color w:val="000000"/>
          <w:u w:val="single"/>
        </w:rPr>
        <w:t>Investor Designee</w:t>
      </w:r>
      <w:r>
        <w:rPr>
          <w:color w:val="000000"/>
        </w:rPr>
        <w:t>”), so long as the Investor (or an Affiliate of the Investor) shall continue to hold at least 50% of the Shares issued to the Investor pursuant to the Stock Purchase Agreement, as adjusted for stock splits, stock dividends, recapitalizations and similar events.</w:t>
      </w:r>
    </w:p>
    <w:p>
      <w:pPr>
        <w:pStyle w:val="Normal"/>
        <w:spacing w:before="0" w:after="240"/>
        <w:jc w:val="both"/>
        <w:rPr/>
      </w:pPr>
      <w:bookmarkStart w:id="41" w:name="_DV_M27"/>
      <w:bookmarkEnd w:id="41"/>
      <w:r>
        <w:rPr>
          <w:color w:val="000000"/>
        </w:rPr>
        <w:t>For purposes of this Agreement, the Founders and the Investor are hereinafter each referred to as the “</w:t>
      </w:r>
      <w:r>
        <w:rPr>
          <w:color w:val="000000"/>
          <w:u w:val="single"/>
        </w:rPr>
        <w:t>Designating Party</w:t>
      </w:r>
      <w:r>
        <w:rPr>
          <w:color w:val="000000"/>
        </w:rPr>
        <w:t>,” as the case may be.</w:t>
      </w:r>
    </w:p>
    <w:p>
      <w:pPr>
        <w:pStyle w:val="Heading4"/>
        <w:numPr>
          <w:ilvl w:val="3"/>
          <w:numId w:val="2"/>
        </w:numPr>
        <w:rPr>
          <w:color w:val="000000"/>
        </w:rPr>
      </w:pPr>
      <w:bookmarkStart w:id="42" w:name="_DV_M28"/>
      <w:bookmarkEnd w:id="42"/>
      <w:r>
        <w:rPr>
          <w:color w:val="000000"/>
        </w:rPr>
        <w:t>Each Designating Party shall notify all other Stockholders of each of the designations which such Designating Party is entitled to make hereunder.  In the absence of such notice by a Designating Party, the director designee then serving and previously designated by such Designating Party shall be deemed to be such Designating Party’s designee for such position if still eligible to serve as provided herein.  No Stockholder shall vote its Securities to remove any member of the Board of Directors designated in accordance with Section 2(a) hereof unless (x) in the case of the Investor Designee, the Investor votes for the removal of a director which the Investor previously designated for election, and if the Investor votes for such a removal, then the Stockholders shall likewise vote for such a removal and for the election of a replacement director designated by the Investor and (y)  in the case of the Founder Designees, a Designating Party votes for the removal of a director which such Designating Party previously designated for election, and if such Designating Party votes for such a removal, then the Stockholders shall likewise vote for such a removal and for the election of a replacement director designated by such Designating Party.  In the event of any vacancy on the Board of Directors created by the resignation, removal, incapacity or death of any person designated under this Section 2 by a Designating Party, the Stockholders shall vote their Securities to fill such vacancy with another person designated by such Designating Party.  Unless and until such Designating Party designates a person to fill any such vacancy, the Stockholders shall not vote their Securities to fill such vacancy.  In the event that any member of the Board of Directors takes any action to fill any vacancy in a method inconsistent with the procedures set forth in this Section 2 and refuses to reverse such action when advised of the terms of this Section 2 (a “</w:t>
      </w:r>
      <w:r>
        <w:rPr>
          <w:color w:val="000000"/>
          <w:u w:val="single"/>
        </w:rPr>
        <w:t>Disavowing Director</w:t>
      </w:r>
      <w:r>
        <w:rPr>
          <w:color w:val="000000"/>
        </w:rPr>
        <w:t>”), the Stockholders hereby agree to vote all of their Securities in favor of convening a special meeting of the stockholders of the Company to remove the Disavowing Director and removing the Disavowing Director at such special meeting or consenting to such removal.  The Designating Party that designated any Disavowing Director so removed shall be entitled to appoint such Disavowing Director’s replacement pursuant to the fourth sentence of this subsection (b).</w:t>
      </w:r>
    </w:p>
    <w:p>
      <w:pPr>
        <w:pStyle w:val="Heading4"/>
        <w:numPr>
          <w:ilvl w:val="3"/>
          <w:numId w:val="2"/>
        </w:numPr>
        <w:rPr>
          <w:color w:val="000000"/>
        </w:rPr>
      </w:pPr>
      <w:bookmarkStart w:id="43" w:name="_DV_M29"/>
      <w:bookmarkEnd w:id="43"/>
      <w:r>
        <w:rPr>
          <w:color w:val="000000"/>
        </w:rPr>
        <w:t>In the event that any Stockholder shall fail at any time to vote or act by written consent with respect to any of such Stockholder’s Securities as agreed by such Stockholder in this Agreement, such Stockholder hereby irrevocably grants to and appoints each other Stockholder (and any officer of such Stockholder or each of them individually), such Stockholder’s proxy and attorney-in-fact (with full power of substitution), for and in the name, place and stead of such Stockholder, to vote, act by written consent or grant a consent, proxy or approval in respect of such Securities with respect to such vote or action by written consent exclusively as agreed by such Stockholder in this Agreement.  Each Stockholder hereby affirms that any such irrevocable proxy set forth in this Section is given in connection with the execution of the Stock Purchase Agreement referred to herein and that such irrevocable proxy is given to secure the performance of the obligations of such Stockholder under this Agreement.  Each such Stockholder hereby further affirms that any such proxy hereby granted shall be irrevocable, and shall be deemed coupled with an interest, in accordance with Section 212(e) of the Delaware General Corporation Law.</w:t>
      </w:r>
    </w:p>
    <w:p>
      <w:pPr>
        <w:pStyle w:val="Heading4"/>
        <w:numPr>
          <w:ilvl w:val="3"/>
          <w:numId w:val="2"/>
        </w:numPr>
        <w:rPr>
          <w:color w:val="000000"/>
        </w:rPr>
      </w:pPr>
      <w:bookmarkStart w:id="44" w:name="_DV_M30"/>
      <w:bookmarkEnd w:id="44"/>
      <w:r>
        <w:rPr>
          <w:color w:val="000000"/>
        </w:rPr>
        <w:t>All references in this Agreement to “voting” or “vote” shall be deemed to include actions of the Board of Directors by written consent in accordance with Section 141 of the Delaware General Corporation Law.</w:t>
      </w:r>
    </w:p>
    <w:p>
      <w:pPr>
        <w:pStyle w:val="Heading4"/>
        <w:numPr>
          <w:ilvl w:val="3"/>
          <w:numId w:val="2"/>
        </w:numPr>
        <w:rPr>
          <w:color w:val="000000"/>
        </w:rPr>
      </w:pPr>
      <w:bookmarkStart w:id="45" w:name="_DV_M31"/>
      <w:bookmarkEnd w:id="45"/>
      <w:r>
        <w:rPr>
          <w:color w:val="000000"/>
        </w:rPr>
        <w:t xml:space="preserve">In the event that the Investor elects not to designate a person for election to the Board of Directors, the Investor shall be entitled, so long as the Investor is entitled to </w:t>
      </w:r>
      <w:bookmarkStart w:id="46" w:name="_DV_C18"/>
      <w:r>
        <w:rPr>
          <w:rStyle w:val="DeltaViewDeletion"/>
        </w:rPr>
        <w:t>appoint a representative</w:t>
      </w:r>
      <w:bookmarkStart w:id="47" w:name="_DV_C19"/>
      <w:bookmarkEnd w:id="46"/>
      <w:r>
        <w:rPr>
          <w:rStyle w:val="DeltaViewInsertion"/>
        </w:rPr>
        <w:t>designate a person for election</w:t>
      </w:r>
      <w:bookmarkStart w:id="48" w:name="_DV_M32"/>
      <w:bookmarkEnd w:id="47"/>
      <w:bookmarkEnd w:id="48"/>
      <w:r>
        <w:rPr>
          <w:color w:val="000000"/>
        </w:rPr>
        <w:t xml:space="preserve"> to the Board of Directors, to appoint a</w:t>
      </w:r>
      <w:bookmarkStart w:id="49" w:name="_DV_C20"/>
      <w:r>
        <w:rPr>
          <w:rStyle w:val="DeltaViewInsertion"/>
        </w:rPr>
        <w:t xml:space="preserve"> non-voting</w:t>
      </w:r>
      <w:bookmarkStart w:id="50" w:name="_DV_M33"/>
      <w:bookmarkEnd w:id="49"/>
      <w:bookmarkEnd w:id="50"/>
      <w:r>
        <w:rPr>
          <w:color w:val="000000"/>
        </w:rPr>
        <w:t xml:space="preserve"> representative (the “</w:t>
      </w:r>
      <w:r>
        <w:rPr>
          <w:color w:val="000000"/>
          <w:u w:val="single"/>
        </w:rPr>
        <w:t>Investor Representative</w:t>
      </w:r>
      <w:r>
        <w:rPr>
          <w:color w:val="000000"/>
        </w:rPr>
        <w:t>”) to observe meetings, proceedings and other actions of the Board of Directors and all committees thereof.  The Investor Representative shall be appointed by the Investor by delivering a written notice to the Company specifying the name and notice address of the Investor Representative.  The Investor Representative shall be entitled to receive, at the same time and by the same delivery method as the other members of the Board of Directors (or committee thereof), all notices of meetings of the Board of Directors or a committee thereof</w:t>
      </w:r>
      <w:bookmarkStart w:id="51" w:name="_DV_C21"/>
      <w:r>
        <w:rPr>
          <w:rStyle w:val="DeltaViewDeletion"/>
        </w:rPr>
        <w:t>,</w:t>
      </w:r>
      <w:bookmarkStart w:id="52" w:name="_DV_C22"/>
      <w:bookmarkEnd w:id="51"/>
      <w:r>
        <w:rPr>
          <w:rStyle w:val="DeltaViewInsertion"/>
        </w:rPr>
        <w:t xml:space="preserve"> and</w:t>
      </w:r>
      <w:bookmarkStart w:id="53" w:name="_DV_M34"/>
      <w:bookmarkEnd w:id="52"/>
      <w:bookmarkEnd w:id="53"/>
      <w:r>
        <w:rPr>
          <w:color w:val="000000"/>
        </w:rPr>
        <w:t xml:space="preserve"> copies of all materials </w:t>
      </w:r>
      <w:bookmarkStart w:id="54" w:name="_DV_C23"/>
      <w:r>
        <w:rPr>
          <w:rStyle w:val="DeltaViewDeletion"/>
        </w:rPr>
        <w:t>prepared</w:t>
      </w:r>
      <w:bookmarkStart w:id="55" w:name="_DV_C24"/>
      <w:bookmarkEnd w:id="54"/>
      <w:r>
        <w:rPr>
          <w:rStyle w:val="DeltaViewInsertion"/>
        </w:rPr>
        <w:t>distributed</w:t>
      </w:r>
      <w:bookmarkStart w:id="56" w:name="_DV_M35"/>
      <w:bookmarkEnd w:id="55"/>
      <w:bookmarkEnd w:id="56"/>
      <w:r>
        <w:rPr>
          <w:color w:val="000000"/>
        </w:rPr>
        <w:t xml:space="preserve"> </w:t>
      </w:r>
      <w:bookmarkStart w:id="57" w:name="_DV_C25"/>
      <w:r>
        <w:rPr>
          <w:rStyle w:val="DeltaViewDeletion"/>
        </w:rPr>
        <w:t>for</w:t>
      </w:r>
      <w:bookmarkStart w:id="58" w:name="_DV_C26"/>
      <w:bookmarkEnd w:id="57"/>
      <w:r>
        <w:rPr>
          <w:rStyle w:val="DeltaViewInsertion"/>
        </w:rPr>
        <w:t>to</w:t>
      </w:r>
      <w:bookmarkStart w:id="59" w:name="_DV_M36"/>
      <w:bookmarkEnd w:id="58"/>
      <w:bookmarkEnd w:id="59"/>
      <w:r>
        <w:rPr>
          <w:color w:val="000000"/>
        </w:rPr>
        <w:t xml:space="preserve"> the Board of Directors or a committee thereof (whether for consideration at a meeting, by written consent in lieu thereof or otherwise)</w:t>
      </w:r>
      <w:bookmarkStart w:id="60" w:name="_DV_C27"/>
      <w:r>
        <w:rPr>
          <w:rStyle w:val="DeltaViewDeletion"/>
        </w:rPr>
        <w:t xml:space="preserve"> and</w:t>
      </w:r>
      <w:bookmarkStart w:id="61" w:name="_DV_C28"/>
      <w:bookmarkEnd w:id="60"/>
      <w:r>
        <w:rPr>
          <w:rStyle w:val="DeltaViewInsertion"/>
        </w:rPr>
        <w:t>, including without limitation,</w:t>
      </w:r>
      <w:bookmarkStart w:id="62" w:name="_DV_M37"/>
      <w:bookmarkEnd w:id="61"/>
      <w:bookmarkEnd w:id="62"/>
      <w:r>
        <w:rPr>
          <w:color w:val="000000"/>
        </w:rPr>
        <w:t xml:space="preserve"> copies of all resolutions and other actions presented to the Board of Directors or a committee thereof</w:t>
      </w:r>
      <w:bookmarkStart w:id="63" w:name="_DV_C29"/>
      <w:r>
        <w:rPr>
          <w:rStyle w:val="DeltaViewInsertion"/>
        </w:rPr>
        <w:t xml:space="preserve"> and all management reports and similar documents.  The Company shall reimburse the Investor for the participation of the Investor Representative on the same basis as the Company reimburses members of the Board of Directors</w:t>
      </w:r>
      <w:bookmarkStart w:id="64" w:name="_DV_M38"/>
      <w:bookmarkEnd w:id="63"/>
      <w:bookmarkEnd w:id="64"/>
      <w:r>
        <w:rPr>
          <w:color w:val="000000"/>
        </w:rPr>
        <w:t>.  At such time as the Investor shall determine to appoint a representative to the Board of Directors pursuant to Section 2(a)(ii) hereof, the Company and the Founders will cause a special meeting of the Stockholders to be called or take such other steps as are necessary, including voting securities pursuant to Section 2(a) hereof, in order that the person designated by the Investor to the Board of Directors may be elected to the Board of Directors as promptly as possible.</w:t>
      </w:r>
    </w:p>
    <w:p>
      <w:pPr>
        <w:pStyle w:val="Heading3"/>
        <w:numPr>
          <w:ilvl w:val="2"/>
          <w:numId w:val="2"/>
        </w:numPr>
        <w:rPr>
          <w:b/>
          <w:bCs/>
          <w:i/>
          <w:i/>
          <w:iCs/>
          <w:color w:val="000000"/>
        </w:rPr>
      </w:pPr>
      <w:bookmarkStart w:id="65" w:name="_DV_M39"/>
      <w:bookmarkEnd w:id="65"/>
      <w:r>
        <w:rPr>
          <w:b/>
          <w:bCs/>
          <w:i/>
          <w:iCs/>
          <w:color w:val="000000"/>
          <w:u w:val="single"/>
        </w:rPr>
        <w:t>Right of First Refusal on Company Issuance</w:t>
      </w:r>
      <w:r>
        <w:rPr>
          <w:b/>
          <w:bCs/>
          <w:i/>
          <w:iCs/>
          <w:color w:val="000000"/>
        </w:rPr>
        <w:t>.</w:t>
      </w:r>
    </w:p>
    <w:p>
      <w:pPr>
        <w:pStyle w:val="Heading4"/>
        <w:numPr>
          <w:ilvl w:val="3"/>
          <w:numId w:val="2"/>
        </w:numPr>
        <w:rPr>
          <w:color w:val="000000"/>
        </w:rPr>
      </w:pPr>
      <w:bookmarkStart w:id="66" w:name="_DV_M40"/>
      <w:bookmarkEnd w:id="66"/>
      <w:r>
        <w:rPr>
          <w:color w:val="000000"/>
        </w:rPr>
        <w:t>The Company shall, prior to any proposed issuance by the Company of any equity securities, securities that are convertible into or exercisable or exchangeable for equity securities or any other rights to acquire equity securities (“</w:t>
      </w:r>
      <w:r>
        <w:rPr>
          <w:color w:val="000000"/>
          <w:u w:val="single"/>
        </w:rPr>
        <w:t>New Securities</w:t>
      </w:r>
      <w:r>
        <w:rPr>
          <w:color w:val="000000"/>
        </w:rPr>
        <w:t>”)</w:t>
      </w:r>
      <w:r>
        <w:rPr>
          <w:rStyle w:val="FootnoteCharacters"/>
          <w:color w:val="000000"/>
        </w:rPr>
        <w:t xml:space="preserve">, offer to </w:t>
      </w:r>
      <w:r>
        <w:rPr>
          <w:color w:val="000000"/>
        </w:rPr>
        <w:t xml:space="preserve">the Investor </w:t>
      </w:r>
      <w:r>
        <w:rPr>
          <w:rStyle w:val="FootnoteCharacters"/>
          <w:color w:val="000000"/>
        </w:rPr>
        <w:t xml:space="preserve">by written notice the right, for a period of 20 days, to purchase for cash at an amount equal to the price or other consideration for which such </w:t>
      </w:r>
      <w:r>
        <w:rPr>
          <w:color w:val="000000"/>
        </w:rPr>
        <w:t xml:space="preserve">New Securities are to be issued, and on other terms not less favorable than the terms on which any third party purchaser shall be offered such New Securities, </w:t>
      </w:r>
      <w:r>
        <w:rPr>
          <w:rStyle w:val="FootnoteCharacters"/>
          <w:color w:val="000000"/>
        </w:rPr>
        <w:t xml:space="preserve">a </w:t>
      </w:r>
      <w:r>
        <w:rPr>
          <w:color w:val="000000"/>
        </w:rPr>
        <w:t xml:space="preserve">portion </w:t>
      </w:r>
      <w:r>
        <w:rPr>
          <w:rStyle w:val="FootnoteCharacters"/>
          <w:color w:val="000000"/>
        </w:rPr>
        <w:t xml:space="preserve">of such </w:t>
      </w:r>
      <w:r>
        <w:rPr>
          <w:color w:val="000000"/>
        </w:rPr>
        <w:t>New S</w:t>
      </w:r>
      <w:r>
        <w:rPr>
          <w:rStyle w:val="FootnoteCharacters"/>
          <w:color w:val="000000"/>
        </w:rPr>
        <w:t xml:space="preserve">ecurities </w:t>
      </w:r>
      <w:r>
        <w:rPr>
          <w:color w:val="000000"/>
        </w:rPr>
        <w:t>up to an amount equal to a fraction, the numerator of which shall be the number of Securities then owned by the Investor and the denominator of which shall be the number of shares of Total Stock immediately prior to the issuance of the New Securities (such fraction being referred to in this Section 3 as a “</w:t>
      </w:r>
      <w:r>
        <w:rPr>
          <w:color w:val="000000"/>
          <w:u w:val="single"/>
        </w:rPr>
        <w:t>Pro Rata Fraction</w:t>
      </w:r>
      <w:r>
        <w:rPr>
          <w:color w:val="000000"/>
        </w:rPr>
        <w:t>”)</w:t>
      </w:r>
      <w:bookmarkStart w:id="67" w:name="_DV_C30"/>
      <w:r>
        <w:rPr>
          <w:rStyle w:val="DeltaViewInsertion"/>
        </w:rPr>
        <w:t>.</w:t>
      </w:r>
      <w:bookmarkStart w:id="68" w:name="_DV_M41"/>
      <w:bookmarkEnd w:id="67"/>
      <w:bookmarkEnd w:id="68"/>
      <w:r>
        <w:rPr>
          <w:color w:val="000000"/>
        </w:rPr>
        <w:t xml:space="preserve">  </w:t>
      </w:r>
      <w:r>
        <w:rPr>
          <w:b/>
          <w:bCs/>
          <w:i/>
          <w:iCs/>
          <w:color w:val="000000"/>
        </w:rPr>
        <w:t>[</w:t>
      </w:r>
      <w:bookmarkStart w:id="69" w:name="_DV_C31"/>
      <w:r>
        <w:rPr>
          <w:rStyle w:val="DeltaViewDeletion"/>
          <w:b/>
          <w:bCs/>
          <w:i/>
          <w:iCs/>
        </w:rPr>
        <w:t>we</w:t>
      </w:r>
      <w:bookmarkStart w:id="70" w:name="_DV_C32"/>
      <w:bookmarkEnd w:id="69"/>
      <w:r>
        <w:rPr>
          <w:rStyle w:val="DeltaViewInsertion"/>
          <w:i/>
          <w:iCs/>
        </w:rPr>
        <w:t>We</w:t>
      </w:r>
      <w:bookmarkStart w:id="71" w:name="_DV_M42"/>
      <w:bookmarkEnd w:id="70"/>
      <w:bookmarkEnd w:id="71"/>
      <w:r>
        <w:rPr>
          <w:b/>
          <w:bCs/>
          <w:i/>
          <w:iCs/>
          <w:color w:val="000000"/>
        </w:rPr>
        <w:t xml:space="preserve"> may have comments on this formula once we see the revised capitalization table]</w:t>
      </w:r>
      <w:r>
        <w:rPr>
          <w:color w:val="000000"/>
        </w:rPr>
        <w:t xml:space="preserve">.  In the event that New Securities are to be issued and sold by the Company for services, property, or other non-cash consideration, the Investor will be allowed to participate in such issue and sale by substituting cash in the amount of the fair market value, per share, of such non-cash consideration.  </w:t>
      </w:r>
      <w:bookmarkStart w:id="72" w:name="_DV_C33"/>
      <w:r>
        <w:rPr>
          <w:rStyle w:val="DeltaViewDeletion"/>
          <w:b/>
          <w:bCs/>
          <w:i/>
          <w:iCs/>
        </w:rPr>
        <w:t>[Method for determining</w:t>
      </w:r>
      <w:bookmarkStart w:id="73" w:name="_DV_C34"/>
      <w:bookmarkEnd w:id="72"/>
      <w:r>
        <w:rPr>
          <w:rStyle w:val="DeltaViewInsertion"/>
        </w:rPr>
        <w:t>The</w:t>
      </w:r>
      <w:bookmarkStart w:id="74" w:name="_DV_M43"/>
      <w:bookmarkEnd w:id="73"/>
      <w:bookmarkEnd w:id="74"/>
      <w:r>
        <w:rPr>
          <w:color w:val="000000"/>
        </w:rPr>
        <w:t xml:space="preserve"> fair market value</w:t>
      </w:r>
      <w:bookmarkStart w:id="75" w:name="_DV_C35"/>
      <w:r>
        <w:rPr>
          <w:rStyle w:val="DeltaViewInsertion"/>
        </w:rPr>
        <w:t xml:space="preserve"> per share of such non-cash consideration shall be reasonably determined by the Company’s Board of Directors in good faith using a customary valuation method; provided, however, that if the Investor disagrees with the determination by the Board of Directors of the fair market value, then the fair market value shall be the fair market value as determined by an independent third-party appraiser mutually acceptable</w:t>
      </w:r>
      <w:bookmarkStart w:id="76" w:name="_DV_M44"/>
      <w:bookmarkEnd w:id="75"/>
      <w:bookmarkEnd w:id="76"/>
      <w:r>
        <w:rPr>
          <w:color w:val="000000"/>
        </w:rPr>
        <w:t xml:space="preserve"> to </w:t>
      </w:r>
      <w:bookmarkStart w:id="77" w:name="_DV_C36"/>
      <w:r>
        <w:rPr>
          <w:rStyle w:val="DeltaViewDeletion"/>
          <w:b/>
          <w:bCs/>
          <w:i/>
          <w:iCs/>
        </w:rPr>
        <w:t>come]</w:t>
      </w:r>
      <w:bookmarkStart w:id="78" w:name="_DV_C37"/>
      <w:bookmarkEnd w:id="77"/>
      <w:r>
        <w:rPr>
          <w:rStyle w:val="DeltaViewInsertion"/>
        </w:rPr>
        <w:t>the Company and the Investor.</w:t>
      </w:r>
      <w:bookmarkEnd w:id="78"/>
    </w:p>
    <w:p>
      <w:pPr>
        <w:pStyle w:val="Heading4"/>
        <w:numPr>
          <w:ilvl w:val="3"/>
          <w:numId w:val="2"/>
        </w:numPr>
        <w:rPr>
          <w:color w:val="000000"/>
        </w:rPr>
      </w:pPr>
      <w:bookmarkStart w:id="79" w:name="_DV_M45"/>
      <w:bookmarkEnd w:id="79"/>
      <w:r>
        <w:rPr>
          <w:color w:val="000000"/>
        </w:rPr>
        <w:t>Notwithstanding paragraph (a) above,</w:t>
      </w:r>
      <w:r>
        <w:rPr>
          <w:rStyle w:val="FootnoteCharacters"/>
          <w:color w:val="000000"/>
        </w:rPr>
        <w:t xml:space="preserve"> the rights of the </w:t>
      </w:r>
      <w:r>
        <w:rPr>
          <w:color w:val="000000"/>
        </w:rPr>
        <w:t xml:space="preserve">Investor </w:t>
      </w:r>
      <w:r>
        <w:rPr>
          <w:rStyle w:val="FootnoteCharacters"/>
          <w:color w:val="000000"/>
        </w:rPr>
        <w:t xml:space="preserve">pursuant to this Section </w:t>
      </w:r>
      <w:r>
        <w:rPr>
          <w:color w:val="000000"/>
        </w:rPr>
        <w:t>3</w:t>
      </w:r>
      <w:r>
        <w:rPr>
          <w:rStyle w:val="FootnoteCharacters"/>
          <w:color w:val="000000"/>
        </w:rPr>
        <w:t xml:space="preserve"> shall not apply to </w:t>
      </w:r>
      <w:r>
        <w:rPr>
          <w:color w:val="000000"/>
        </w:rPr>
        <w:t xml:space="preserve">Securities issued or issuable </w:t>
      </w:r>
      <w:r>
        <w:rPr>
          <w:rStyle w:val="FootnoteCharacters"/>
          <w:color w:val="000000"/>
        </w:rPr>
        <w:t>(</w:t>
      </w:r>
      <w:r>
        <w:rPr>
          <w:color w:val="000000"/>
        </w:rPr>
        <w:t>A</w:t>
      </w:r>
      <w:r>
        <w:rPr>
          <w:rStyle w:val="FootnoteCharacters"/>
          <w:color w:val="000000"/>
        </w:rPr>
        <w:t>) as a stock dividend</w:t>
      </w:r>
      <w:r>
        <w:rPr>
          <w:color w:val="000000"/>
        </w:rPr>
        <w:t xml:space="preserve"> which is equally applicable to all of the Investor’s Securities or,</w:t>
      </w:r>
      <w:r>
        <w:rPr>
          <w:rStyle w:val="FootnoteCharacters"/>
          <w:color w:val="000000"/>
        </w:rPr>
        <w:t xml:space="preserve"> upon any subdivision of </w:t>
      </w:r>
      <w:r>
        <w:rPr>
          <w:color w:val="000000"/>
        </w:rPr>
        <w:t xml:space="preserve">all </w:t>
      </w:r>
      <w:r>
        <w:rPr>
          <w:rStyle w:val="FootnoteCharacters"/>
          <w:color w:val="000000"/>
        </w:rPr>
        <w:t>shares of Common Stock</w:t>
      </w:r>
      <w:r>
        <w:rPr>
          <w:color w:val="000000"/>
        </w:rPr>
        <w:t xml:space="preserve"> or recapitalization of the Company with respect to which the Investor’s Securities are affected in the same manner as the other Securities of the Company</w:t>
      </w:r>
      <w:r>
        <w:rPr>
          <w:rStyle w:val="FootnoteCharacters"/>
          <w:color w:val="000000"/>
        </w:rPr>
        <w:t xml:space="preserve">, </w:t>
      </w:r>
      <w:r>
        <w:rPr>
          <w:color w:val="000000"/>
        </w:rPr>
        <w:t xml:space="preserve">(B) in the form of Common Stock in an aggregate amount not to exceed 10,000,000 shares of Common Stock (appropriately adjusted to reflect any subdivision, combination or reclassification of the Common Stock), or options to purchase the same, reserved for issuance to officers, employees, directors or consultants of the Company in connection with their service as directors of the Company, their employment by the Company or their retention as consultants by the Company pursuant to equity incentive arrangements approved by the Board of Directors of the Company (provided, that 7,250,000 of such 10,000,000 shares have already been reserved for issuance pursuant to the Company’s 2000 Incentive Stock Plan and that 5,429,667 of such 7,250,000 reserved shares have already been granted pursuant to option awards under such 2000 Incentive Stock Plan), (C) </w:t>
      </w:r>
      <w:r>
        <w:rPr>
          <w:rStyle w:val="FootnoteCharacters"/>
          <w:color w:val="000000"/>
        </w:rPr>
        <w:t xml:space="preserve">solely in consideration for </w:t>
      </w:r>
      <w:r>
        <w:rPr>
          <w:color w:val="000000"/>
        </w:rPr>
        <w:t>an</w:t>
      </w:r>
      <w:r>
        <w:rPr>
          <w:rStyle w:val="FootnoteCharacters"/>
          <w:color w:val="000000"/>
        </w:rPr>
        <w:t xml:space="preserve"> acquisition by the Company or any of its subsidiaries </w:t>
      </w:r>
      <w:r>
        <w:rPr>
          <w:color w:val="000000"/>
        </w:rPr>
        <w:t xml:space="preserve">of </w:t>
      </w:r>
      <w:r>
        <w:rPr>
          <w:rStyle w:val="FootnoteCharacters"/>
          <w:color w:val="000000"/>
        </w:rPr>
        <w:t xml:space="preserve">the stock or assets of any other </w:t>
      </w:r>
      <w:r>
        <w:rPr>
          <w:color w:val="000000"/>
        </w:rPr>
        <w:t xml:space="preserve">business (whether by merger or otherwise) which acquisition has been approved by the Board of Directors, (D) in the case of the issuance of warrants to acquire shares of Common Stock issued to lending institutions or equipment leasing companies in connection with the leasing or financing of purchases by the Company of tangible assets or equipment in bona fide arms-length transactions, (E) in connection with a public offering  pursuant to an effective registration statement under the Securities Act covering the offer and sale of Common Stock for the account of the Company to the public </w:t>
      </w:r>
      <w:r>
        <w:rPr>
          <w:b/>
          <w:bCs/>
          <w:i/>
          <w:iCs/>
          <w:color w:val="000000"/>
        </w:rPr>
        <w:t>[IPO qualifications to come]</w:t>
      </w:r>
      <w:r>
        <w:rPr>
          <w:color w:val="000000"/>
        </w:rPr>
        <w:t>, (F) to strategic or commercial partners in connection with any technology transfer agreement, distribution agreement, marketing agreement, collaborative agreement or any other agreement similar thereto with the Company which has been approved by the Board of Directors of the Company, (G) upon the issuance of warrants to the Investor pursuant to the Co-Marketing Agreement, dated as of even date herewith, between the Company and the Investor, or upon the issuance of shares of Common Stock issuable upon the exercise of such warrants, (H) upon the exercise of any security of the Company which was not in itself issued in violation of this Section 3 and (I) in transactions with respect to which rights granted under this Section 3 shall have been waived by holders of a majority of the Shares originally issued to the Investor.</w:t>
      </w:r>
    </w:p>
    <w:p>
      <w:pPr>
        <w:pStyle w:val="Heading4"/>
        <w:numPr>
          <w:ilvl w:val="3"/>
          <w:numId w:val="2"/>
        </w:numPr>
        <w:rPr>
          <w:color w:val="000000"/>
        </w:rPr>
      </w:pPr>
      <w:bookmarkStart w:id="80" w:name="_DV_M46"/>
      <w:bookmarkEnd w:id="80"/>
      <w:r>
        <w:rPr>
          <w:rStyle w:val="FootnoteCharacters"/>
          <w:color w:val="000000"/>
        </w:rPr>
        <w:t xml:space="preserve">The Company’s written notice to </w:t>
      </w:r>
      <w:r>
        <w:rPr>
          <w:color w:val="000000"/>
        </w:rPr>
        <w:t>the Investor described in paragraph (a) above shall de</w:t>
      </w:r>
      <w:r>
        <w:rPr>
          <w:rStyle w:val="FootnoteCharacters"/>
          <w:color w:val="000000"/>
        </w:rPr>
        <w:t xml:space="preserve">scribe the </w:t>
      </w:r>
      <w:r>
        <w:rPr>
          <w:color w:val="000000"/>
        </w:rPr>
        <w:t>New S</w:t>
      </w:r>
      <w:r>
        <w:rPr>
          <w:rStyle w:val="FootnoteCharacters"/>
          <w:color w:val="000000"/>
        </w:rPr>
        <w:t xml:space="preserve">ecurities proposed to be issued by the Company and specify the number, price and payment terms.  </w:t>
      </w:r>
      <w:r>
        <w:rPr>
          <w:color w:val="000000"/>
        </w:rPr>
        <w:t xml:space="preserve">The Investor </w:t>
      </w:r>
      <w:r>
        <w:rPr>
          <w:rStyle w:val="FootnoteCharacters"/>
          <w:color w:val="000000"/>
        </w:rPr>
        <w:t>may accept the Company’s offer by written notice thereof given by it to the Company prior to the expiration of 20 day</w:t>
      </w:r>
      <w:r>
        <w:rPr>
          <w:color w:val="000000"/>
        </w:rPr>
        <w:t>s</w:t>
      </w:r>
      <w:r>
        <w:rPr>
          <w:rStyle w:val="FootnoteCharacters"/>
          <w:color w:val="000000"/>
        </w:rPr>
        <w:t xml:space="preserve"> after receipt of such notice, in which event the Company shall promptly sell and the</w:t>
      </w:r>
      <w:r>
        <w:rPr>
          <w:color w:val="000000"/>
        </w:rPr>
        <w:t xml:space="preserve"> Investor </w:t>
      </w:r>
      <w:r>
        <w:rPr>
          <w:rStyle w:val="FootnoteCharacters"/>
          <w:color w:val="000000"/>
        </w:rPr>
        <w:t xml:space="preserve">shall buy, upon the terms specified, the number of </w:t>
      </w:r>
      <w:r>
        <w:rPr>
          <w:color w:val="000000"/>
        </w:rPr>
        <w:t xml:space="preserve">New </w:t>
      </w:r>
      <w:r>
        <w:rPr>
          <w:rStyle w:val="FootnoteCharacters"/>
          <w:color w:val="000000"/>
        </w:rPr>
        <w:t xml:space="preserve">Securities agreed to be purchased by </w:t>
      </w:r>
      <w:r>
        <w:rPr>
          <w:color w:val="000000"/>
        </w:rPr>
        <w:t>the Investor</w:t>
      </w:r>
      <w:r>
        <w:rPr>
          <w:rStyle w:val="FootnoteCharacters"/>
          <w:color w:val="000000"/>
        </w:rPr>
        <w:t>.</w:t>
      </w:r>
      <w:r>
        <w:rPr>
          <w:color w:val="000000"/>
        </w:rPr>
        <w:t xml:space="preserve"> </w:t>
      </w:r>
    </w:p>
    <w:p>
      <w:pPr>
        <w:pStyle w:val="Heading4"/>
        <w:numPr>
          <w:ilvl w:val="3"/>
          <w:numId w:val="2"/>
        </w:numPr>
        <w:rPr>
          <w:color w:val="000000"/>
        </w:rPr>
      </w:pPr>
      <w:bookmarkStart w:id="81" w:name="_DV_M47"/>
      <w:bookmarkEnd w:id="81"/>
      <w:r>
        <w:rPr>
          <w:rStyle w:val="FootnoteCharacters"/>
          <w:color w:val="000000"/>
        </w:rPr>
        <w:t xml:space="preserve">The Company shall be </w:t>
      </w:r>
      <w:r>
        <w:rPr>
          <w:color w:val="000000"/>
        </w:rPr>
        <w:t>free</w:t>
      </w:r>
      <w:r>
        <w:rPr>
          <w:rStyle w:val="FootnoteCharacters"/>
          <w:color w:val="000000"/>
        </w:rPr>
        <w:t xml:space="preserve"> at any time prior to </w:t>
      </w:r>
      <w:r>
        <w:rPr>
          <w:color w:val="000000"/>
        </w:rPr>
        <w:t xml:space="preserve">180 </w:t>
      </w:r>
      <w:r>
        <w:rPr>
          <w:rStyle w:val="FootnoteCharacters"/>
          <w:color w:val="000000"/>
        </w:rPr>
        <w:t xml:space="preserve">days after the date of its notice of offer to </w:t>
      </w:r>
      <w:r>
        <w:rPr>
          <w:color w:val="000000"/>
        </w:rPr>
        <w:t>the Investor</w:t>
      </w:r>
      <w:r>
        <w:rPr>
          <w:rStyle w:val="FootnoteCharacters"/>
          <w:color w:val="000000"/>
        </w:rPr>
        <w:t xml:space="preserve">, to offer and sell to any third party or parties the remainder of such </w:t>
      </w:r>
      <w:r>
        <w:rPr>
          <w:color w:val="000000"/>
        </w:rPr>
        <w:t xml:space="preserve">New </w:t>
      </w:r>
      <w:r>
        <w:rPr>
          <w:rStyle w:val="FootnoteCharacters"/>
          <w:color w:val="000000"/>
        </w:rPr>
        <w:t xml:space="preserve">Securities proposed to be issued by the Company (including but not limited to the </w:t>
      </w:r>
      <w:r>
        <w:rPr>
          <w:color w:val="000000"/>
        </w:rPr>
        <w:t xml:space="preserve">New </w:t>
      </w:r>
      <w:r>
        <w:rPr>
          <w:rStyle w:val="FootnoteCharacters"/>
          <w:color w:val="000000"/>
        </w:rPr>
        <w:t xml:space="preserve">Securities not agreed by </w:t>
      </w:r>
      <w:r>
        <w:rPr>
          <w:color w:val="000000"/>
        </w:rPr>
        <w:t xml:space="preserve">the Investor </w:t>
      </w:r>
      <w:r>
        <w:rPr>
          <w:rStyle w:val="FootnoteCharacters"/>
          <w:color w:val="000000"/>
        </w:rPr>
        <w:t xml:space="preserve">to be purchased by it), at a price and on payment terms no less favorable to the Company than those specified in such notice of offer to </w:t>
      </w:r>
      <w:r>
        <w:rPr>
          <w:color w:val="000000"/>
        </w:rPr>
        <w:t>the Investor</w:t>
      </w:r>
      <w:r>
        <w:rPr>
          <w:rStyle w:val="FootnoteCharacters"/>
          <w:color w:val="000000"/>
        </w:rPr>
        <w:t xml:space="preserve">.  However, if such third party sale or sales are not consummated within such </w:t>
      </w:r>
      <w:r>
        <w:rPr>
          <w:color w:val="000000"/>
        </w:rPr>
        <w:t>180-</w:t>
      </w:r>
      <w:r>
        <w:rPr>
          <w:rStyle w:val="FootnoteCharacters"/>
          <w:color w:val="000000"/>
        </w:rPr>
        <w:t xml:space="preserve">day period, the Company shall not sell such </w:t>
      </w:r>
      <w:r>
        <w:rPr>
          <w:color w:val="000000"/>
        </w:rPr>
        <w:t xml:space="preserve">New </w:t>
      </w:r>
      <w:r>
        <w:rPr>
          <w:rStyle w:val="FootnoteCharacters"/>
          <w:color w:val="000000"/>
        </w:rPr>
        <w:t xml:space="preserve">Securities that have </w:t>
      </w:r>
      <w:r>
        <w:rPr>
          <w:color w:val="000000"/>
        </w:rPr>
        <w:t xml:space="preserve">not </w:t>
      </w:r>
      <w:r>
        <w:rPr>
          <w:rStyle w:val="FootnoteCharacters"/>
          <w:color w:val="000000"/>
        </w:rPr>
        <w:t xml:space="preserve">been purchased within such period without again complying with this Section </w:t>
      </w:r>
      <w:r>
        <w:rPr>
          <w:color w:val="000000"/>
        </w:rPr>
        <w:t>3</w:t>
      </w:r>
      <w:r>
        <w:rPr>
          <w:rStyle w:val="FootnoteCharacters"/>
          <w:color w:val="000000"/>
        </w:rPr>
        <w:t>.</w:t>
      </w:r>
    </w:p>
    <w:p>
      <w:pPr>
        <w:pStyle w:val="Heading3"/>
        <w:numPr>
          <w:ilvl w:val="2"/>
          <w:numId w:val="2"/>
        </w:numPr>
        <w:rPr>
          <w:b/>
          <w:bCs/>
          <w:i/>
          <w:i/>
          <w:iCs/>
          <w:color w:val="000000"/>
        </w:rPr>
      </w:pPr>
      <w:bookmarkStart w:id="82" w:name="_DV_M48"/>
      <w:bookmarkEnd w:id="82"/>
      <w:r>
        <w:rPr>
          <w:b/>
          <w:bCs/>
          <w:i/>
          <w:iCs/>
          <w:color w:val="000000"/>
          <w:u w:val="single"/>
        </w:rPr>
        <w:t>Prohibited Transfers</w:t>
      </w:r>
      <w:r>
        <w:rPr>
          <w:b/>
          <w:bCs/>
          <w:i/>
          <w:iCs/>
          <w:color w:val="000000"/>
        </w:rPr>
        <w:t>.</w:t>
      </w:r>
    </w:p>
    <w:p>
      <w:pPr>
        <w:pStyle w:val="Heading4"/>
        <w:numPr>
          <w:ilvl w:val="3"/>
          <w:numId w:val="2"/>
        </w:numPr>
        <w:rPr>
          <w:color w:val="000000"/>
        </w:rPr>
      </w:pPr>
      <w:bookmarkStart w:id="83" w:name="_DV_M49"/>
      <w:bookmarkEnd w:id="83"/>
      <w:r>
        <w:rPr>
          <w:color w:val="000000"/>
        </w:rPr>
        <w:t>None of the Stockholders shall Transfer all or any of his or its Securities except (i) as expressly provided in Sections 5 and 6 of this Agreement, or (ii) under the following circumstances, none of which would require compliance with Sections 5 and 6 below:  (A) a Founder may Transfer the Securities he holds to the Company upon termination of employment, (B) each Founder may Transfer all or any of his Securities to a member of his Group, (C) the Investor may Transfer all or any of its Securities to an Affiliate of the Investor and (D) each Founder and the Investor may Transfer up to an aggregate of 2.5% of all or any of his or its Securities held on the date hereof, provided that, in the case of clauses (B), (C) and (D), any such transferee shall agree in writing, as a condition to such Transfer, to be bound (or shall be bound, in the case of a transfer by will or the laws of descent and distribution) by all of the provisions of this Agreement to the same extent as if such transferee were such transferring  Stockholder.</w:t>
      </w:r>
    </w:p>
    <w:p>
      <w:pPr>
        <w:pStyle w:val="Heading4"/>
        <w:numPr>
          <w:ilvl w:val="3"/>
          <w:numId w:val="2"/>
        </w:numPr>
        <w:rPr>
          <w:color w:val="000000"/>
        </w:rPr>
      </w:pPr>
      <w:bookmarkStart w:id="84" w:name="_DV_M50"/>
      <w:bookmarkEnd w:id="84"/>
      <w:r>
        <w:rPr>
          <w:color w:val="000000"/>
        </w:rPr>
        <w:t xml:space="preserve">Notwithstanding the foregoing, no Stockholder may Transfer any Securities to a person or entity </w:t>
      </w:r>
      <w:bookmarkStart w:id="85" w:name="_DV_C38"/>
      <w:r>
        <w:rPr>
          <w:rStyle w:val="DeltaViewDeletion"/>
        </w:rPr>
        <w:t>primarily engaged in a line of business that Competes (as hereinafter defined) with</w:t>
      </w:r>
      <w:bookmarkStart w:id="86" w:name="_DV_C39"/>
      <w:bookmarkEnd w:id="85"/>
      <w:r>
        <w:rPr>
          <w:rStyle w:val="DeltaViewInsertion"/>
        </w:rPr>
        <w:t>whose annual revenues (along with its Affiliates annual revenues) during each of the two years immediately preceding the most recently ended fiscal year prior to such transfer are greater than 75% derived from the sale or license of a risk management analysis and reporting product that incorporates substantially all</w:t>
      </w:r>
      <w:bookmarkStart w:id="87" w:name="_DV_M51"/>
      <w:bookmarkEnd w:id="86"/>
      <w:bookmarkEnd w:id="87"/>
      <w:r>
        <w:rPr>
          <w:color w:val="000000"/>
        </w:rPr>
        <w:t xml:space="preserve"> the </w:t>
      </w:r>
      <w:bookmarkStart w:id="88" w:name="_DV_C40"/>
      <w:r>
        <w:rPr>
          <w:rStyle w:val="DeltaViewDeletion"/>
        </w:rPr>
        <w:t>Company</w:t>
      </w:r>
      <w:bookmarkStart w:id="89" w:name="_DV_C41"/>
      <w:bookmarkEnd w:id="88"/>
      <w:r>
        <w:rPr>
          <w:rStyle w:val="DeltaViewInsertion"/>
        </w:rPr>
        <w:t>features and characteristics set forth on Exhibit A to the Co-Marketing Agreement</w:t>
      </w:r>
      <w:bookmarkStart w:id="90" w:name="_DV_M52"/>
      <w:bookmarkEnd w:id="89"/>
      <w:bookmarkEnd w:id="90"/>
      <w:r>
        <w:rPr>
          <w:color w:val="000000"/>
        </w:rPr>
        <w:t>.</w:t>
      </w:r>
      <w:bookmarkStart w:id="91" w:name="_DV_C42"/>
      <w:r>
        <w:rPr>
          <w:rStyle w:val="DeltaViewDeletion"/>
        </w:rPr>
        <w:t xml:space="preserve">  “</w:t>
      </w:r>
      <w:r>
        <w:rPr>
          <w:rStyle w:val="DeltaViewDeletion"/>
          <w:u w:val="single"/>
        </w:rPr>
        <w:t>Competes</w:t>
      </w:r>
      <w:r>
        <w:rPr>
          <w:rStyle w:val="DeltaViewDeletion"/>
        </w:rPr>
        <w:t>” shall mean [_______________________].</w:t>
      </w:r>
      <w:bookmarkEnd w:id="91"/>
    </w:p>
    <w:p>
      <w:pPr>
        <w:pStyle w:val="Heading4"/>
        <w:numPr>
          <w:ilvl w:val="3"/>
          <w:numId w:val="2"/>
        </w:numPr>
        <w:rPr>
          <w:color w:val="000000"/>
        </w:rPr>
      </w:pPr>
      <w:bookmarkStart w:id="92" w:name="_DV_M53"/>
      <w:bookmarkEnd w:id="92"/>
      <w:r>
        <w:rPr>
          <w:color w:val="000000"/>
        </w:rPr>
        <w:t>Any attempted Transfer in violation of the terms of this Agreement shall be ineffective to vest in any purported transferee any right, title, or interest in or to the securities purported to be Transferred, and the Company shall not recognize any such purported transferee as the holder or owner of such securities for any purpose, including without limitation for purposes of exercising voting rights or rights to receive dividends or other distributions in respect of such securities.</w:t>
      </w:r>
    </w:p>
    <w:p>
      <w:pPr>
        <w:pStyle w:val="Heading3"/>
        <w:keepNext w:val="true"/>
        <w:numPr>
          <w:ilvl w:val="2"/>
          <w:numId w:val="2"/>
        </w:numPr>
        <w:rPr>
          <w:b/>
          <w:bCs/>
          <w:i/>
          <w:i/>
          <w:iCs/>
          <w:color w:val="000000"/>
        </w:rPr>
      </w:pPr>
      <w:bookmarkStart w:id="93" w:name="_DV_M54"/>
      <w:bookmarkEnd w:id="93"/>
      <w:r>
        <w:rPr>
          <w:b/>
          <w:bCs/>
          <w:i/>
          <w:iCs/>
          <w:color w:val="000000"/>
          <w:u w:val="single"/>
        </w:rPr>
        <w:t>Right of First Refusal on Dispositions by the Investor</w:t>
      </w:r>
      <w:r>
        <w:rPr>
          <w:b/>
          <w:bCs/>
          <w:i/>
          <w:iCs/>
          <w:color w:val="000000"/>
        </w:rPr>
        <w:t>.</w:t>
      </w:r>
    </w:p>
    <w:p>
      <w:pPr>
        <w:pStyle w:val="Heading4"/>
        <w:numPr>
          <w:ilvl w:val="3"/>
          <w:numId w:val="2"/>
        </w:numPr>
        <w:rPr>
          <w:color w:val="000000"/>
        </w:rPr>
      </w:pPr>
      <w:bookmarkStart w:id="94" w:name="_DV_M55"/>
      <w:bookmarkEnd w:id="94"/>
      <w:r>
        <w:rPr>
          <w:color w:val="000000"/>
        </w:rPr>
        <w:t>If at any time the Investor proposes to Transfer (other than a Transfer or sale that is permitted under clause (ii) of Section 4(a)) all or any part of its Securities (for purposes of this Section 5, the “</w:t>
      </w:r>
      <w:r>
        <w:rPr>
          <w:color w:val="000000"/>
          <w:u w:val="single"/>
        </w:rPr>
        <w:t>Offered Securities</w:t>
      </w:r>
      <w:r>
        <w:rPr>
          <w:color w:val="000000"/>
        </w:rPr>
        <w:t>”) pursuant to a bona fide written offer (the “</w:t>
      </w:r>
      <w:r>
        <w:rPr>
          <w:color w:val="000000"/>
          <w:u w:val="single"/>
        </w:rPr>
        <w:t>Offer</w:t>
      </w:r>
      <w:r>
        <w:rPr>
          <w:color w:val="000000"/>
        </w:rPr>
        <w:t>”) from a third party (a “</w:t>
      </w:r>
      <w:r>
        <w:rPr>
          <w:color w:val="000000"/>
          <w:u w:val="single"/>
        </w:rPr>
        <w:t>Proposed Transferee</w:t>
      </w:r>
      <w:r>
        <w:rPr>
          <w:color w:val="000000"/>
        </w:rPr>
        <w:t>”), the Investor shall so notify in writing the Company of the offer of such Securities (the “</w:t>
      </w:r>
      <w:r>
        <w:rPr>
          <w:color w:val="000000"/>
          <w:u w:val="single"/>
        </w:rPr>
        <w:t>Offered Securities</w:t>
      </w:r>
      <w:r>
        <w:rPr>
          <w:color w:val="000000"/>
        </w:rPr>
        <w:t>”) and the terms of said Offer, including the identity of the Proposed Transferee, the amount and type of the Offered Securities proposed to be Transferred to the Proposed Transferee, and the proposed terms and conditions, including price, of the Transfer of the Offered Securities (the “</w:t>
      </w:r>
      <w:r>
        <w:rPr>
          <w:color w:val="000000"/>
          <w:u w:val="single"/>
        </w:rPr>
        <w:t>Notice</w:t>
      </w:r>
      <w:r>
        <w:rPr>
          <w:color w:val="000000"/>
        </w:rPr>
        <w:t>”).  The Notice shall further state that the Company shall have the right to acquire all (but not less than all) of such Offered Securities.  If the Company desires to purchase all (but not less than all) of the Offered Securities, the Company shall communicate in writing (the “</w:t>
      </w:r>
      <w:r>
        <w:rPr>
          <w:color w:val="000000"/>
          <w:u w:val="single"/>
        </w:rPr>
        <w:t>Company Notice</w:t>
      </w:r>
      <w:r>
        <w:rPr>
          <w:color w:val="000000"/>
        </w:rPr>
        <w:t>”) its election to purchase to the Investor, which communication shall be given to the Investor within twenty (20) days of receipt by the Company of the Notice.</w:t>
      </w:r>
    </w:p>
    <w:p>
      <w:pPr>
        <w:pStyle w:val="Heading4"/>
        <w:numPr>
          <w:ilvl w:val="3"/>
          <w:numId w:val="2"/>
        </w:numPr>
        <w:rPr>
          <w:color w:val="000000"/>
        </w:rPr>
      </w:pPr>
      <w:bookmarkStart w:id="95" w:name="_DV_M56"/>
      <w:bookmarkEnd w:id="95"/>
      <w:r>
        <w:rPr>
          <w:color w:val="000000"/>
        </w:rPr>
        <w:t>Such communication shall, when taken in conjunction with the Company Notice, be deemed to constitute a valid, legally binding and enforceable agreement for the sale and purchase of such Offered Securities.  Sales of such Offered Securities to be sold to the Company pursuant to this Section 5 shall be made, subject to regulatory approvals if necessary, within 30 days following receipt by the Investor of the Company Notice (or if such 30th day shall not be a business day, then on the next succeeding business day).</w:t>
      </w:r>
    </w:p>
    <w:p>
      <w:pPr>
        <w:pStyle w:val="Heading4"/>
        <w:numPr>
          <w:ilvl w:val="3"/>
          <w:numId w:val="2"/>
        </w:numPr>
        <w:rPr>
          <w:color w:val="000000"/>
        </w:rPr>
      </w:pPr>
      <w:bookmarkStart w:id="96" w:name="_DV_M57"/>
      <w:bookmarkEnd w:id="96"/>
      <w:r>
        <w:rPr>
          <w:color w:val="000000"/>
        </w:rPr>
        <w:t>If the Company does not elect to purchase all of the Offered Securities, then the Offered Securities may be sold by the Investor at any time within 180 days after the date the Offer was made.  Any such sale shall be at a price and upon other terms and conditions, if any, not more favorable to the proposed transferee than those specified in the Offer.  Any Offered Securities not sold within such 180-day period shall continue to be subject to the requirements of this Section 5.</w:t>
      </w:r>
    </w:p>
    <w:p>
      <w:pPr>
        <w:pStyle w:val="Heading4"/>
        <w:numPr>
          <w:ilvl w:val="3"/>
          <w:numId w:val="2"/>
        </w:numPr>
        <w:rPr>
          <w:color w:val="000000"/>
        </w:rPr>
      </w:pPr>
      <w:bookmarkStart w:id="97" w:name="_DV_M58"/>
      <w:bookmarkEnd w:id="97"/>
      <w:r>
        <w:rPr>
          <w:color w:val="000000"/>
        </w:rPr>
        <w:t>If Offered Securities are sold pursuant to this Section 5 to any purchaser who is not a party to this Agreement, then such purchaser shall execute a counterpart of this Agreement as a precondition of the purchase of such Offered Securities, and any Offered Securities sold to such purchaser shall continue to be subject to this Agreement.</w:t>
      </w:r>
    </w:p>
    <w:p>
      <w:pPr>
        <w:pStyle w:val="Heading3"/>
        <w:keepNext w:val="true"/>
        <w:keepLines/>
        <w:numPr>
          <w:ilvl w:val="2"/>
          <w:numId w:val="2"/>
        </w:numPr>
        <w:rPr>
          <w:b/>
          <w:bCs/>
          <w:i/>
          <w:i/>
          <w:iCs/>
          <w:color w:val="000000"/>
        </w:rPr>
      </w:pPr>
      <w:bookmarkStart w:id="98" w:name="_DV_M59"/>
      <w:bookmarkEnd w:id="98"/>
      <w:r>
        <w:rPr>
          <w:b/>
          <w:bCs/>
          <w:i/>
          <w:iCs/>
          <w:color w:val="000000"/>
          <w:u w:val="single"/>
        </w:rPr>
        <w:t>Right to Participate in Sales</w:t>
      </w:r>
      <w:r>
        <w:rPr>
          <w:b/>
          <w:bCs/>
          <w:i/>
          <w:iCs/>
          <w:color w:val="000000"/>
        </w:rPr>
        <w:t>.</w:t>
      </w:r>
    </w:p>
    <w:p>
      <w:pPr>
        <w:pStyle w:val="Heading4"/>
        <w:numPr>
          <w:ilvl w:val="3"/>
          <w:numId w:val="2"/>
        </w:numPr>
        <w:rPr>
          <w:color w:val="000000"/>
        </w:rPr>
      </w:pPr>
      <w:bookmarkStart w:id="99" w:name="_DV_M60"/>
      <w:bookmarkEnd w:id="99"/>
      <w:r>
        <w:rPr>
          <w:color w:val="000000"/>
        </w:rPr>
        <w:t>If at any time a Founder (for purposes of this Section 6, a “</w:t>
      </w:r>
      <w:r>
        <w:rPr>
          <w:color w:val="000000"/>
          <w:u w:val="single"/>
        </w:rPr>
        <w:t>Selling Restricted Stockholder</w:t>
      </w:r>
      <w:r>
        <w:rPr>
          <w:color w:val="000000"/>
        </w:rPr>
        <w:t>”) desires to Transfer (other than a Transfer or sale that is permitted under clause (ii) of Section 4(a)) all or any part of the Securities owned by such Selling Restricted Stockholder (for purposes of this Section 6, the “Offered Securities”) to a third party (for purposes of this Section 6, a “</w:t>
      </w:r>
      <w:r>
        <w:rPr>
          <w:color w:val="000000"/>
          <w:u w:val="single"/>
        </w:rPr>
        <w:t>Proposed Transferee</w:t>
      </w:r>
      <w:r>
        <w:rPr>
          <w:color w:val="000000"/>
        </w:rPr>
        <w:t>”), then such Selling Restricted Stockholder shall not sell any such Offered Securities to such Proposed Transferee unless the Investor is given the right to sell to the Proposed Transferee, as a condition to such sale by such Selling Restricted Stockholder, at the same price per share and on the same terms and conditions as are involved in such sale by such Selling Restricted Stockholder.  The Investor may sell (free and clear of the provisions of Section 5) all or any part of the number of Securities equal to the product obtained by multiplying (x) the aggregate number of Securities covered by the Offer by (y) a fraction, the numerator of which is the number of Securities owned by the Investor and the denominator of which is the number of shares of Total Stock then outstanding</w:t>
      </w:r>
      <w:bookmarkStart w:id="100" w:name="_DV_C43"/>
      <w:r>
        <w:rPr>
          <w:rStyle w:val="DeltaViewDeletion"/>
        </w:rPr>
        <w:t xml:space="preserve"> </w:t>
      </w:r>
      <w:r>
        <w:rPr>
          <w:rStyle w:val="DeltaViewDeletion"/>
          <w:b/>
          <w:bCs/>
          <w:i/>
          <w:iCs/>
        </w:rPr>
        <w:t>[we</w:t>
      </w:r>
      <w:bookmarkStart w:id="101" w:name="_DV_C44"/>
      <w:bookmarkEnd w:id="100"/>
      <w:r>
        <w:rPr>
          <w:rStyle w:val="DeltaViewInsertion"/>
        </w:rPr>
        <w:t xml:space="preserve">.  </w:t>
      </w:r>
      <w:r>
        <w:rPr>
          <w:rStyle w:val="DeltaViewInsertion"/>
          <w:i/>
          <w:iCs/>
        </w:rPr>
        <w:t>[We</w:t>
      </w:r>
      <w:bookmarkStart w:id="102" w:name="_DV_M61"/>
      <w:bookmarkEnd w:id="101"/>
      <w:bookmarkEnd w:id="102"/>
      <w:r>
        <w:rPr>
          <w:b/>
          <w:bCs/>
          <w:i/>
          <w:iCs/>
          <w:color w:val="000000"/>
        </w:rPr>
        <w:t xml:space="preserve"> may have comments on this formula once we see the revised capitalization table].</w:t>
      </w:r>
    </w:p>
    <w:p>
      <w:pPr>
        <w:pStyle w:val="Heading4"/>
        <w:numPr>
          <w:ilvl w:val="3"/>
          <w:numId w:val="2"/>
        </w:numPr>
        <w:rPr>
          <w:color w:val="000000"/>
        </w:rPr>
      </w:pPr>
      <w:bookmarkStart w:id="103" w:name="_DV_M62"/>
      <w:bookmarkEnd w:id="103"/>
      <w:r>
        <w:rPr>
          <w:color w:val="000000"/>
        </w:rPr>
        <w:t>The Selling Restricted Stockholder who wishes to make a sale to a Proposed Transferee shall give the Investor notice (the “</w:t>
      </w:r>
      <w:r>
        <w:rPr>
          <w:color w:val="000000"/>
          <w:u w:val="single"/>
        </w:rPr>
        <w:t>Sale Notice</w:t>
      </w:r>
      <w:r>
        <w:rPr>
          <w:color w:val="000000"/>
        </w:rPr>
        <w:t>”) of such proposed sale stating the number of Offered Securities.  Such notice shall be given at least 20 days prior to the date of the proposed sale to the Proposed Transferee.  If the Investor wishes to so participate in any sale under this Section 6, it shall notify the Selling Restricted Holder in writing of such intention within 20 days after its receipt of the Sale Notice.</w:t>
      </w:r>
    </w:p>
    <w:p>
      <w:pPr>
        <w:pStyle w:val="Heading4"/>
        <w:numPr>
          <w:ilvl w:val="3"/>
          <w:numId w:val="2"/>
        </w:numPr>
        <w:rPr>
          <w:color w:val="000000"/>
        </w:rPr>
      </w:pPr>
      <w:bookmarkStart w:id="104" w:name="_DV_M63"/>
      <w:bookmarkEnd w:id="104"/>
      <w:r>
        <w:rPr>
          <w:color w:val="000000"/>
        </w:rPr>
        <w:t xml:space="preserve">The Selling Restricted Stockholder and the Investor shall sell to the Proposed Transferee all, or at the option of the Proposed Transferee, any part, of the Securities proposed to be sold by them at not less than the price and upon other terms and conditions, if any, not more favorable to the Proposed Transferee than those in the Sale Notice; provided that, any purchase of less than all of such Securities by the Proposed Transferee shall be made from the Selling Restricted Stockholder and the Investor pro rata based upon the relative number of Securities that the Selling Restricted Stockholder and the Investor have otherwise agreed to sell pursuant to Section 6(a).  </w:t>
      </w:r>
      <w:r>
        <w:rPr>
          <w:b/>
          <w:bCs/>
          <w:i/>
          <w:iCs/>
          <w:color w:val="000000"/>
        </w:rPr>
        <w:t>[We may have comments on this formula once we see the revised capitalization table].</w:t>
      </w:r>
    </w:p>
    <w:p>
      <w:pPr>
        <w:pStyle w:val="Heading4"/>
        <w:numPr>
          <w:ilvl w:val="3"/>
          <w:numId w:val="2"/>
        </w:numPr>
        <w:rPr>
          <w:color w:val="000000"/>
        </w:rPr>
      </w:pPr>
      <w:bookmarkStart w:id="105" w:name="_DV_M64"/>
      <w:bookmarkEnd w:id="105"/>
      <w:r>
        <w:rPr>
          <w:color w:val="000000"/>
        </w:rPr>
        <w:t>If any Securities are sold pursuant to this Section 6 to any purchaser who is not a party to this Agreement, such purchaser shall execute a counterpart of this Agreement as a precondition to the purchase of such Securities and such Securities shall continue to be subject to this Agreement.</w:t>
      </w:r>
    </w:p>
    <w:p>
      <w:pPr>
        <w:pStyle w:val="Heading3"/>
        <w:numPr>
          <w:ilvl w:val="2"/>
          <w:numId w:val="2"/>
        </w:numPr>
        <w:tabs>
          <w:tab w:val="clear" w:pos="2160"/>
          <w:tab w:val="left" w:pos="1440" w:leader="none"/>
        </w:tabs>
        <w:ind w:firstLine="1440" w:start="0" w:end="0"/>
        <w:rPr>
          <w:color w:val="000000"/>
        </w:rPr>
      </w:pPr>
      <w:bookmarkStart w:id="106" w:name="_DV_M65"/>
      <w:bookmarkEnd w:id="106"/>
      <w:r>
        <w:rPr>
          <w:b/>
          <w:bCs/>
          <w:i/>
          <w:iCs/>
          <w:color w:val="000000"/>
          <w:u w:val="single"/>
        </w:rPr>
        <w:t>Term</w:t>
      </w:r>
      <w:r>
        <w:rPr>
          <w:b/>
          <w:bCs/>
          <w:i/>
          <w:iCs/>
          <w:color w:val="000000"/>
        </w:rPr>
        <w:t xml:space="preserve">.  </w:t>
      </w:r>
      <w:bookmarkStart w:id="107" w:name="_DV_M66"/>
      <w:bookmarkEnd w:id="107"/>
      <w:r>
        <w:rPr>
          <w:color w:val="000000"/>
        </w:rPr>
        <w:t xml:space="preserve">Except as otherwise provided herein, the provisions of this Agreement shall terminate immediately prior to the earlier of (i) consummation of a public offering  pursuant to an effective registration statement under the Securities Act covering the offer and sale of Common Stock for the account of the Company to the public </w:t>
      </w:r>
      <w:bookmarkStart w:id="108" w:name="_DV_M67"/>
      <w:bookmarkEnd w:id="108"/>
      <w:r>
        <w:rPr>
          <w:b/>
          <w:bCs/>
          <w:i/>
          <w:iCs/>
          <w:color w:val="000000"/>
        </w:rPr>
        <w:t>[IPO qualifications to come]</w:t>
      </w:r>
      <w:r>
        <w:rPr>
          <w:color w:val="000000"/>
        </w:rPr>
        <w:t xml:space="preserve"> and (ii) the sale, conveyance, or other disposition of all or substantially all of its property or business or merger into or consolidation with any other company (other than a wholly-owned subsidiary company or a merger effected exclusively for the purpose of changing the domicile of the Company) or the consummation of any other transaction or series of related transactions in which more than fifty percent (50%) of the voting power of the Company is disposed of; provided, however, that, in the event of the termination of this Agreement pursuant to clause (i) above, Section 6 hereof shall survive so as to permit the Investor to sell Securities in such public offering pursuant to such Section.</w:t>
      </w:r>
    </w:p>
    <w:p>
      <w:pPr>
        <w:pStyle w:val="Heading3"/>
        <w:numPr>
          <w:ilvl w:val="2"/>
          <w:numId w:val="2"/>
        </w:numPr>
        <w:tabs>
          <w:tab w:val="clear" w:pos="2160"/>
          <w:tab w:val="left" w:pos="1440" w:leader="none"/>
        </w:tabs>
        <w:ind w:firstLine="1440" w:start="0" w:end="0"/>
        <w:rPr>
          <w:color w:val="000000"/>
        </w:rPr>
      </w:pPr>
      <w:bookmarkStart w:id="109" w:name="_DV_M68"/>
      <w:bookmarkEnd w:id="109"/>
      <w:r>
        <w:rPr>
          <w:b/>
          <w:bCs/>
          <w:i/>
          <w:iCs/>
          <w:color w:val="000000"/>
          <w:u w:val="single"/>
        </w:rPr>
        <w:t>Specific Enforcement</w:t>
      </w:r>
      <w:r>
        <w:rPr>
          <w:b/>
          <w:bCs/>
          <w:i/>
          <w:iCs/>
          <w:color w:val="000000"/>
        </w:rPr>
        <w:t xml:space="preserve">.  </w:t>
      </w:r>
      <w:bookmarkStart w:id="110" w:name="_DV_M69"/>
      <w:bookmarkEnd w:id="110"/>
      <w:r>
        <w:rPr>
          <w:color w:val="000000"/>
        </w:rPr>
        <w:t>Each party hereto expressly agrees that the other parties would be irreparably damaged if this Agreement is not specifically enforced.  Upon a breach or threatened breach of the terms, covenants and/or conditions of this Agreement by any party, the other parties shall, in addition to all other remedies, each be entitled to a temporary or permanent injunction, and/or a decree for specific performance, in accordance with the provisions hereof, without the necessity of proof of actual changes or the posting of a bond or other security.</w:t>
      </w:r>
    </w:p>
    <w:p>
      <w:pPr>
        <w:pStyle w:val="Heading3"/>
        <w:numPr>
          <w:ilvl w:val="2"/>
          <w:numId w:val="2"/>
        </w:numPr>
        <w:tabs>
          <w:tab w:val="clear" w:pos="2160"/>
          <w:tab w:val="left" w:pos="1440" w:leader="none"/>
        </w:tabs>
        <w:ind w:firstLine="1440" w:start="0" w:end="0"/>
        <w:rPr>
          <w:color w:val="000000"/>
        </w:rPr>
      </w:pPr>
      <w:bookmarkStart w:id="111" w:name="_DV_M70"/>
      <w:bookmarkEnd w:id="111"/>
      <w:r>
        <w:rPr>
          <w:b/>
          <w:bCs/>
          <w:i/>
          <w:iCs/>
          <w:color w:val="000000"/>
          <w:u w:val="single"/>
        </w:rPr>
        <w:t>Legend</w:t>
      </w:r>
      <w:r>
        <w:rPr>
          <w:b/>
          <w:bCs/>
          <w:i/>
          <w:iCs/>
          <w:color w:val="000000"/>
        </w:rPr>
        <w:t xml:space="preserve">.  </w:t>
      </w:r>
      <w:bookmarkStart w:id="112" w:name="_DV_M71"/>
      <w:bookmarkEnd w:id="112"/>
      <w:r>
        <w:rPr>
          <w:color w:val="000000"/>
        </w:rPr>
        <w:t>Each certificate evidencing any of the Securities now owned or hereafter acquired by the Stockholders shall bear a legend that includes the following provision:</w:t>
      </w:r>
    </w:p>
    <w:p>
      <w:pPr>
        <w:pStyle w:val="Normal"/>
        <w:spacing w:before="120" w:after="240"/>
        <w:ind w:start="720" w:end="720"/>
        <w:jc w:val="both"/>
        <w:rPr/>
      </w:pPr>
      <w:bookmarkStart w:id="113" w:name="_DV_M72"/>
      <w:bookmarkEnd w:id="113"/>
      <w:r>
        <w:rPr>
          <w:color w:val="000000"/>
        </w:rPr>
        <w:t>ANY SALE, ASSIGNMENT, TRANSFER OR OTHER DISPOSITION OF THE SHARES REPRESENTED BY THIS CERTIFICATE IS RESTRICTED BY, AND SUBJECT TO, THE TERMS AND PROVISIONS OF A CERTAIN STOCKHOLDERS’ AGREEMENT DATED AS OF [</w:t>
      </w:r>
      <w:r>
        <w:rPr>
          <w:color w:val="000000"/>
          <w:u w:val="single"/>
        </w:rPr>
        <w:tab/>
        <w:tab/>
      </w:r>
      <w:r>
        <w:rPr>
          <w:color w:val="000000"/>
        </w:rPr>
        <w:t>], 2001.  A COPY OF SUCH AGREEMENT IS ON FILE WITH THE SECRETARY OF THE COMPANY.</w:t>
      </w:r>
    </w:p>
    <w:p>
      <w:pPr>
        <w:pStyle w:val="Normal"/>
        <w:spacing w:before="120" w:after="240"/>
        <w:ind w:firstLine="810" w:end="0"/>
        <w:jc w:val="both"/>
        <w:rPr>
          <w:color w:val="000000"/>
        </w:rPr>
      </w:pPr>
      <w:bookmarkStart w:id="114" w:name="_DV_C45"/>
      <w:bookmarkStart w:id="115" w:name="_DV_IPM2"/>
      <w:bookmarkEnd w:id="115"/>
      <w:r>
        <w:rPr>
          <w:rStyle w:val="DeltaViewInsertion"/>
        </w:rPr>
        <w:t>The Company shall cause the foregoing legend to be removed from such certificate, at the request of the holder thereof, at such time as the Securities evidenced by such certificates cease to be subject to this Agreement.</w:t>
      </w:r>
      <w:bookmarkEnd w:id="114"/>
    </w:p>
    <w:p>
      <w:pPr>
        <w:pStyle w:val="Heading3"/>
        <w:numPr>
          <w:ilvl w:val="2"/>
          <w:numId w:val="2"/>
        </w:numPr>
        <w:tabs>
          <w:tab w:val="clear" w:pos="2160"/>
          <w:tab w:val="left" w:pos="1440" w:leader="none"/>
        </w:tabs>
        <w:ind w:firstLine="1440" w:start="0" w:end="0"/>
        <w:rPr>
          <w:color w:val="000000"/>
        </w:rPr>
      </w:pPr>
      <w:bookmarkStart w:id="116" w:name="_DV_M73"/>
      <w:bookmarkEnd w:id="116"/>
      <w:r>
        <w:rPr>
          <w:b/>
          <w:bCs/>
          <w:i/>
          <w:iCs/>
          <w:color w:val="000000"/>
          <w:u w:val="single"/>
        </w:rPr>
        <w:t>Notices</w:t>
      </w:r>
      <w:r>
        <w:rPr>
          <w:b/>
          <w:bCs/>
          <w:i/>
          <w:iCs/>
          <w:color w:val="000000"/>
        </w:rPr>
        <w:t>.</w:t>
      </w:r>
      <w:bookmarkStart w:id="117" w:name="_DV_M74"/>
      <w:bookmarkEnd w:id="117"/>
      <w:r>
        <w:rPr>
          <w:color w:val="000000"/>
        </w:rPr>
        <w:t xml:space="preserve">  Notices given hereunder shall be deemed to have been duly given on the date of personal delivery; or on the date of electronic confirmation of receipt, if sent by telecopier; or three (3) days after deposit in the United States mail, if mailed by certified or registered mail, return receipt requested; or one (1) day after delivery to a nationally recognized overnight courier, if to the Company, to Kiodex, Inc., 3 New York Plaza, 15th Floor, New York, NY 10004, Fax Number: (646) 437-3910, Attn: General Counsel and if to any Stockholder, at his or its address specified on Schedule I hereto or, in any case, to such other address as any party may subsequently notify the other parties of in writing.</w:t>
      </w:r>
    </w:p>
    <w:p>
      <w:pPr>
        <w:pStyle w:val="Heading3"/>
        <w:numPr>
          <w:ilvl w:val="2"/>
          <w:numId w:val="2"/>
        </w:numPr>
        <w:tabs>
          <w:tab w:val="clear" w:pos="2160"/>
          <w:tab w:val="left" w:pos="1440" w:leader="none"/>
        </w:tabs>
        <w:ind w:firstLine="1440" w:start="0" w:end="0"/>
        <w:rPr>
          <w:color w:val="000000"/>
        </w:rPr>
      </w:pPr>
      <w:bookmarkStart w:id="118" w:name="_DV_M75"/>
      <w:bookmarkEnd w:id="118"/>
      <w:r>
        <w:rPr>
          <w:b/>
          <w:bCs/>
          <w:i/>
          <w:iCs/>
          <w:color w:val="000000"/>
          <w:u w:val="single"/>
        </w:rPr>
        <w:t>Entire Agreement</w:t>
      </w:r>
      <w:r>
        <w:rPr>
          <w:b/>
          <w:bCs/>
          <w:i/>
          <w:iCs/>
          <w:color w:val="000000"/>
        </w:rPr>
        <w:t xml:space="preserve">.  </w:t>
      </w:r>
      <w:bookmarkStart w:id="119" w:name="_DV_M76"/>
      <w:bookmarkEnd w:id="119"/>
      <w:r>
        <w:rPr>
          <w:color w:val="000000"/>
        </w:rPr>
        <w:t>This Agreement constitutes the entire agreement among the Stockholders with respect to the subject matter hereof and supersedes all prior agreements and understandings between them or any of them with respect to such subject matter.</w:t>
      </w:r>
    </w:p>
    <w:p>
      <w:pPr>
        <w:pStyle w:val="Heading3"/>
        <w:numPr>
          <w:ilvl w:val="2"/>
          <w:numId w:val="2"/>
        </w:numPr>
        <w:tabs>
          <w:tab w:val="clear" w:pos="2160"/>
          <w:tab w:val="left" w:pos="1440" w:leader="none"/>
        </w:tabs>
        <w:ind w:firstLine="1440" w:start="0" w:end="0"/>
        <w:rPr>
          <w:color w:val="000000"/>
        </w:rPr>
      </w:pPr>
      <w:bookmarkStart w:id="120" w:name="_DV_M77"/>
      <w:bookmarkEnd w:id="120"/>
      <w:r>
        <w:rPr>
          <w:b/>
          <w:bCs/>
          <w:i/>
          <w:iCs/>
          <w:color w:val="000000"/>
          <w:u w:val="single"/>
        </w:rPr>
        <w:t>Amendments</w:t>
      </w:r>
      <w:r>
        <w:rPr>
          <w:b/>
          <w:bCs/>
          <w:i/>
          <w:iCs/>
          <w:color w:val="000000"/>
        </w:rPr>
        <w:t xml:space="preserve">.  </w:t>
      </w:r>
      <w:bookmarkStart w:id="121" w:name="_DV_M78"/>
      <w:bookmarkEnd w:id="121"/>
      <w:r>
        <w:rPr>
          <w:color w:val="000000"/>
        </w:rPr>
        <w:t xml:space="preserve">Neither this Agreement nor any provision hereof may be waived, modified, amended or terminated except by a written agreement signed by each of the parties hereto; </w:t>
      </w:r>
      <w:bookmarkStart w:id="122" w:name="_DV_M79"/>
      <w:bookmarkEnd w:id="122"/>
      <w:r>
        <w:rPr>
          <w:color w:val="000000"/>
          <w:u w:val="single"/>
        </w:rPr>
        <w:t>provided</w:t>
      </w:r>
      <w:r>
        <w:rPr>
          <w:color w:val="000000"/>
        </w:rPr>
        <w:t xml:space="preserve">, </w:t>
      </w:r>
      <w:r>
        <w:rPr>
          <w:color w:val="000000"/>
          <w:u w:val="single"/>
        </w:rPr>
        <w:t>however</w:t>
      </w:r>
      <w:r>
        <w:rPr>
          <w:color w:val="000000"/>
        </w:rPr>
        <w:t xml:space="preserve">, that (i) holders of a majority of the Securities held by the Founders and their respective Groups, in the aggregate, may effect any such waiver, modification, amendment or termination on behalf of the Founders and (ii) holders of a majority of the Securities held by Investor and its Affiliates may effect any such waiver, modification, amendment or termination on behalf of such holders; </w:t>
      </w:r>
      <w:r>
        <w:rPr>
          <w:color w:val="000000"/>
          <w:u w:val="single"/>
        </w:rPr>
        <w:t>provided</w:t>
      </w:r>
      <w:r>
        <w:rPr>
          <w:color w:val="000000"/>
        </w:rPr>
        <w:t xml:space="preserve"> that the rights of any Designating Party as provided in Section 2 hereof may not be waived, modified, amended or terminated without the written consent of such Designating Party; and </w:t>
      </w:r>
      <w:r>
        <w:rPr>
          <w:color w:val="000000"/>
          <w:u w:val="single"/>
        </w:rPr>
        <w:t>provided</w:t>
      </w:r>
      <w:r>
        <w:rPr>
          <w:color w:val="000000"/>
        </w:rPr>
        <w:t xml:space="preserve">, </w:t>
      </w:r>
      <w:r>
        <w:rPr>
          <w:color w:val="000000"/>
          <w:u w:val="single"/>
        </w:rPr>
        <w:t>further</w:t>
      </w:r>
      <w:r>
        <w:rPr>
          <w:color w:val="000000"/>
        </w:rPr>
        <w:t>, that, without the consent of all parties to this Agreement who own Securities, no amendment, waiver or addition to this Agreement may be made which modifies this Section 12.</w:t>
      </w:r>
    </w:p>
    <w:p>
      <w:pPr>
        <w:pStyle w:val="Heading3"/>
        <w:keepNext w:val="true"/>
        <w:numPr>
          <w:ilvl w:val="2"/>
          <w:numId w:val="2"/>
        </w:numPr>
        <w:tabs>
          <w:tab w:val="clear" w:pos="2160"/>
          <w:tab w:val="left" w:pos="1440" w:leader="none"/>
        </w:tabs>
        <w:ind w:firstLine="1440" w:start="0" w:end="0"/>
        <w:rPr>
          <w:color w:val="000000"/>
        </w:rPr>
      </w:pPr>
      <w:bookmarkStart w:id="123" w:name="_DV_M80"/>
      <w:bookmarkEnd w:id="123"/>
      <w:r>
        <w:rPr>
          <w:b/>
          <w:bCs/>
          <w:i/>
          <w:iCs/>
          <w:color w:val="000000"/>
          <w:u w:val="single"/>
        </w:rPr>
        <w:t>Governing Law; Venue</w:t>
      </w:r>
      <w:r>
        <w:rPr>
          <w:b/>
          <w:bCs/>
          <w:i/>
          <w:iCs/>
          <w:color w:val="000000"/>
        </w:rPr>
        <w:t>.</w:t>
      </w:r>
      <w:r>
        <w:rPr>
          <w:color w:val="000000"/>
        </w:rPr>
        <w:t xml:space="preserve">  </w:t>
      </w:r>
      <w:bookmarkStart w:id="124" w:name="_DV_C46"/>
    </w:p>
    <w:p>
      <w:pPr>
        <w:pStyle w:val="Heading4"/>
        <w:numPr>
          <w:ilvl w:val="3"/>
          <w:numId w:val="5"/>
        </w:numPr>
        <w:rPr>
          <w:color w:val="000000"/>
        </w:rPr>
      </w:pPr>
      <w:bookmarkStart w:id="125" w:name="_DV_M87"/>
      <w:bookmarkStart w:id="126" w:name="_DV_IPM3"/>
      <w:bookmarkEnd w:id="124"/>
      <w:bookmarkEnd w:id="125"/>
      <w:bookmarkEnd w:id="126"/>
      <w:r>
        <w:rPr>
          <w:color w:val="000000"/>
        </w:rPr>
        <w:t>This Agreement shall be governed by and construed in accordance with the internal laws of the State of New York, without regard to conflict of laws principles thereof that would cause the application of the laws of a jurisdiction other than the State of New York.</w:t>
      </w:r>
      <w:bookmarkStart w:id="127" w:name="_DV_C47"/>
    </w:p>
    <w:p>
      <w:pPr>
        <w:pStyle w:val="Heading4"/>
        <w:numPr>
          <w:ilvl w:val="3"/>
          <w:numId w:val="5"/>
        </w:numPr>
        <w:rPr>
          <w:color w:val="000000"/>
        </w:rPr>
      </w:pPr>
      <w:bookmarkStart w:id="128" w:name="_DV_C48"/>
      <w:bookmarkEnd w:id="127"/>
      <w:r>
        <w:rPr>
          <w:rStyle w:val="DeltaViewDeletion"/>
        </w:rPr>
        <w:tab/>
        <w:t>(b)</w:t>
        <w:tab/>
      </w:r>
      <w:bookmarkStart w:id="129" w:name="_DV_M88"/>
      <w:bookmarkStart w:id="130" w:name="_DV_LI0"/>
      <w:bookmarkEnd w:id="128"/>
      <w:bookmarkEnd w:id="129"/>
      <w:bookmarkEnd w:id="130"/>
      <w:r>
        <w:rPr>
          <w:color w:val="000000"/>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color w:val="000000"/>
          <w:u w:val="single"/>
        </w:rPr>
        <w:t>forum non conveniens</w:t>
      </w:r>
      <w:r>
        <w:rPr>
          <w:color w:val="000000"/>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3"/>
        <w:numPr>
          <w:ilvl w:val="2"/>
          <w:numId w:val="2"/>
        </w:numPr>
        <w:tabs>
          <w:tab w:val="clear" w:pos="2160"/>
          <w:tab w:val="left" w:pos="1440" w:leader="none"/>
        </w:tabs>
        <w:ind w:firstLine="1440" w:start="0" w:end="0"/>
        <w:rPr>
          <w:color w:val="000000"/>
        </w:rPr>
      </w:pPr>
      <w:bookmarkStart w:id="131" w:name="_DV_M89"/>
      <w:bookmarkEnd w:id="131"/>
      <w:r>
        <w:rPr>
          <w:b/>
          <w:bCs/>
          <w:i/>
          <w:iCs/>
          <w:color w:val="000000"/>
          <w:u w:val="single"/>
        </w:rPr>
        <w:t>Successors and Assigns</w:t>
      </w:r>
      <w:r>
        <w:rPr>
          <w:b/>
          <w:bCs/>
          <w:i/>
          <w:iCs/>
          <w:color w:val="000000"/>
        </w:rPr>
        <w:t xml:space="preserve">.  </w:t>
      </w:r>
      <w:bookmarkStart w:id="132" w:name="_DV_M90"/>
      <w:bookmarkEnd w:id="132"/>
      <w:r>
        <w:rPr>
          <w:color w:val="000000"/>
        </w:rPr>
        <w:t xml:space="preserve">Except as otherwise provided herein, this Agreement shall be binding upon, and shall inure to the benefit of, the heirs, personal representatives, executors, administrators, successors and assigns of the parties. </w:t>
      </w:r>
    </w:p>
    <w:p>
      <w:pPr>
        <w:pStyle w:val="Heading3"/>
        <w:numPr>
          <w:ilvl w:val="2"/>
          <w:numId w:val="2"/>
        </w:numPr>
        <w:tabs>
          <w:tab w:val="clear" w:pos="2160"/>
          <w:tab w:val="left" w:pos="1440" w:leader="none"/>
        </w:tabs>
        <w:ind w:firstLine="1440" w:start="0" w:end="0"/>
        <w:rPr>
          <w:color w:val="000000"/>
        </w:rPr>
      </w:pPr>
      <w:bookmarkStart w:id="133" w:name="_DV_M91"/>
      <w:bookmarkEnd w:id="133"/>
      <w:r>
        <w:rPr>
          <w:b/>
          <w:bCs/>
          <w:i/>
          <w:iCs/>
          <w:color w:val="000000"/>
          <w:u w:val="single"/>
        </w:rPr>
        <w:t>Aggregation of Stock</w:t>
      </w:r>
      <w:r>
        <w:rPr>
          <w:b/>
          <w:bCs/>
          <w:i/>
          <w:iCs/>
          <w:color w:val="000000"/>
        </w:rPr>
        <w:t xml:space="preserve">.  </w:t>
      </w:r>
      <w:bookmarkStart w:id="134" w:name="_DV_M92"/>
      <w:bookmarkEnd w:id="134"/>
      <w:r>
        <w:rPr>
          <w:color w:val="000000"/>
        </w:rPr>
        <w:t>All Securities held or acquired by members of a Group or other Affiliates of a Stockholder shall be aggregated together for the purpose of determining the availability or discharge of any rights or obligations of such Stockholder under this Agreement.  Any such affiliated group shall be entitled to designate one person as representative of such group for the purpose of exercising any right or undertaking any obligation of such group hereunder, and the Company shall be entitled to rely on the representative for such purposes.</w:t>
      </w:r>
    </w:p>
    <w:p>
      <w:pPr>
        <w:pStyle w:val="Heading3"/>
        <w:numPr>
          <w:ilvl w:val="2"/>
          <w:numId w:val="2"/>
        </w:numPr>
        <w:tabs>
          <w:tab w:val="clear" w:pos="2160"/>
          <w:tab w:val="left" w:pos="1440" w:leader="none"/>
        </w:tabs>
        <w:ind w:firstLine="1440" w:start="0" w:end="0"/>
        <w:rPr>
          <w:color w:val="000000"/>
        </w:rPr>
      </w:pPr>
      <w:bookmarkStart w:id="135" w:name="_DV_M93"/>
      <w:bookmarkEnd w:id="135"/>
      <w:r>
        <w:rPr>
          <w:b/>
          <w:bCs/>
          <w:i/>
          <w:iCs/>
          <w:color w:val="000000"/>
          <w:u w:val="single"/>
        </w:rPr>
        <w:t>Severability</w:t>
      </w:r>
      <w:r>
        <w:rPr>
          <w:b/>
          <w:bCs/>
          <w:i/>
          <w:iCs/>
          <w:color w:val="000000"/>
        </w:rPr>
        <w:t>.</w:t>
      </w:r>
      <w:bookmarkStart w:id="136" w:name="_DV_M94"/>
      <w:bookmarkEnd w:id="136"/>
      <w:r>
        <w:rPr>
          <w:color w:val="000000"/>
        </w:rPr>
        <w:t xml:space="preserve">  If any provision of this Agreement shall be held to be illegal, invalid or unenforceable, such illegality, invalidity or unenforceability shall attach only to such provision and shall not in any manner affect or render illegal, invalid or unenforceable any other provision of this Agreement, and this Agreement shall be carried out as if any such illegal, invalid or unenforceable provision were not contained herein.</w:t>
      </w:r>
    </w:p>
    <w:p>
      <w:pPr>
        <w:pStyle w:val="Heading3"/>
        <w:numPr>
          <w:ilvl w:val="2"/>
          <w:numId w:val="2"/>
        </w:numPr>
        <w:tabs>
          <w:tab w:val="clear" w:pos="2160"/>
          <w:tab w:val="left" w:pos="1440" w:leader="none"/>
        </w:tabs>
        <w:ind w:firstLine="1440" w:start="0" w:end="0"/>
        <w:rPr>
          <w:color w:val="000000"/>
        </w:rPr>
      </w:pPr>
      <w:bookmarkStart w:id="137" w:name="_DV_M95"/>
      <w:bookmarkEnd w:id="137"/>
      <w:r>
        <w:rPr>
          <w:b/>
          <w:bCs/>
          <w:i/>
          <w:iCs/>
          <w:color w:val="000000"/>
          <w:u w:val="single"/>
        </w:rPr>
        <w:t>Captions</w:t>
      </w:r>
      <w:r>
        <w:rPr>
          <w:b/>
          <w:bCs/>
          <w:i/>
          <w:iCs/>
          <w:color w:val="000000"/>
        </w:rPr>
        <w:t xml:space="preserve">.  </w:t>
      </w:r>
      <w:bookmarkStart w:id="138" w:name="_DV_M96"/>
      <w:bookmarkEnd w:id="138"/>
      <w:r>
        <w:rPr>
          <w:color w:val="000000"/>
        </w:rPr>
        <w:t>Captions are for convenience only and are not deemed to be part of this Agreement.</w:t>
      </w:r>
    </w:p>
    <w:p>
      <w:pPr>
        <w:pStyle w:val="Heading3"/>
        <w:numPr>
          <w:ilvl w:val="2"/>
          <w:numId w:val="2"/>
        </w:numPr>
        <w:tabs>
          <w:tab w:val="clear" w:pos="2160"/>
          <w:tab w:val="left" w:pos="1440" w:leader="none"/>
        </w:tabs>
        <w:ind w:firstLine="1440" w:start="0" w:end="0"/>
        <w:rPr>
          <w:color w:val="000000"/>
        </w:rPr>
      </w:pPr>
      <w:bookmarkStart w:id="139" w:name="_DV_M97"/>
      <w:bookmarkEnd w:id="139"/>
      <w:r>
        <w:rPr>
          <w:b/>
          <w:bCs/>
          <w:i/>
          <w:iCs/>
          <w:color w:val="000000"/>
          <w:u w:val="single"/>
        </w:rPr>
        <w:t>Counterparts</w:t>
      </w:r>
      <w:r>
        <w:rPr>
          <w:b/>
          <w:bCs/>
          <w:i/>
          <w:iCs/>
          <w:color w:val="000000"/>
        </w:rPr>
        <w:t xml:space="preserve">.  </w:t>
      </w:r>
      <w:bookmarkStart w:id="140" w:name="_DV_M98"/>
      <w:bookmarkEnd w:id="140"/>
      <w:r>
        <w:rPr>
          <w:color w:val="000000"/>
        </w:rPr>
        <w:t>This Agreement may be executed in two or more counterparts, each of which shall be deemed an original, but all of which together shall constitute one and the same instrument.</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color w:val="000000"/>
        </w:rPr>
      </w:pPr>
      <w:bookmarkStart w:id="141" w:name="_DV_M99"/>
      <w:bookmarkEnd w:id="141"/>
      <w:r>
        <w:rPr>
          <w:color w:val="000000"/>
        </w:rPr>
        <w:t>[REMAINDER OF PAGE INTENTIONALLY LEFT BLANK]</w:t>
      </w:r>
    </w:p>
    <w:p>
      <w:pPr>
        <w:pStyle w:val="Normal"/>
        <w:ind w:firstLine="1440" w:end="0"/>
        <w:jc w:val="both"/>
        <w:rPr>
          <w:color w:val="000000"/>
        </w:rPr>
      </w:pPr>
      <w:bookmarkStart w:id="148" w:name="_DV_M100"/>
      <w:bookmarkEnd w:id="148"/>
      <w:r>
        <w:rPr>
          <w:color w:val="000000"/>
        </w:rPr>
        <w:t>IN WITNESS WHEREOF, this Agreement has been executed as of the date and year first above written.</w:t>
      </w:r>
    </w:p>
    <w:p>
      <w:pPr>
        <w:pStyle w:val="Normal"/>
        <w:ind w:firstLine="1440" w:end="0"/>
        <w:rPr>
          <w:color w:val="000000"/>
        </w:rPr>
      </w:pPr>
      <w:r>
        <w:rPr>
          <w:color w:val="000000"/>
        </w:rPr>
      </w:r>
    </w:p>
    <w:p>
      <w:pPr>
        <w:pStyle w:val="Normal"/>
        <w:ind w:start="4320" w:end="0"/>
        <w:rPr>
          <w:b/>
          <w:bCs/>
          <w:color w:val="000000"/>
        </w:rPr>
      </w:pPr>
      <w:bookmarkStart w:id="149" w:name="_DV_M101"/>
      <w:bookmarkEnd w:id="149"/>
      <w:r>
        <w:rPr>
          <w:b/>
          <w:bCs/>
          <w:color w:val="000000"/>
        </w:rPr>
        <w:t>KIODEX, INC.</w:t>
      </w:r>
    </w:p>
    <w:p>
      <w:pPr>
        <w:pStyle w:val="Normal"/>
        <w:spacing w:before="720" w:after="0"/>
        <w:ind w:start="4320" w:end="0"/>
        <w:rPr/>
      </w:pPr>
      <w:bookmarkStart w:id="150" w:name="_DV_M102"/>
      <w:bookmarkEnd w:id="150"/>
      <w:r>
        <w:rPr>
          <w:color w:val="000000"/>
        </w:rPr>
        <w:t>By:</w:t>
        <w:tab/>
      </w:r>
      <w:r>
        <w:rPr>
          <w:color w:val="000000"/>
          <w:u w:val="single"/>
        </w:rPr>
        <w:tab/>
        <w:tab/>
        <w:tab/>
        <w:tab/>
        <w:tab/>
        <w:tab/>
      </w:r>
    </w:p>
    <w:p>
      <w:pPr>
        <w:pStyle w:val="Normal"/>
        <w:ind w:start="4320" w:end="0"/>
        <w:rPr/>
      </w:pPr>
      <w:bookmarkStart w:id="151" w:name="_DV_M103"/>
      <w:bookmarkEnd w:id="151"/>
      <w:r>
        <w:rPr>
          <w:color w:val="000000"/>
        </w:rPr>
        <w:t>Name:</w:t>
        <w:tab/>
      </w:r>
      <w:r>
        <w:rPr>
          <w:color w:val="000000"/>
          <w:u w:val="single"/>
        </w:rPr>
        <w:tab/>
        <w:tab/>
        <w:tab/>
        <w:tab/>
        <w:tab/>
        <w:tab/>
      </w:r>
    </w:p>
    <w:p>
      <w:pPr>
        <w:pStyle w:val="Normal"/>
        <w:ind w:hanging="720" w:start="5040" w:end="0"/>
        <w:rPr/>
      </w:pPr>
      <w:bookmarkStart w:id="152" w:name="_DV_M104"/>
      <w:bookmarkEnd w:id="152"/>
      <w:r>
        <w:rPr>
          <w:color w:val="000000"/>
        </w:rPr>
        <w:t>Title:</w:t>
        <w:tab/>
      </w:r>
      <w:r>
        <w:rPr>
          <w:color w:val="000000"/>
          <w:u w:val="single"/>
        </w:rPr>
        <w:tab/>
        <w:tab/>
        <w:tab/>
        <w:tab/>
        <w:tab/>
        <w:tab/>
      </w:r>
    </w:p>
    <w:p>
      <w:pPr>
        <w:pStyle w:val="Normal"/>
        <w:spacing w:before="720" w:after="0"/>
        <w:ind w:start="4320" w:end="0"/>
        <w:rPr>
          <w:color w:val="000000"/>
          <w:u w:val="single"/>
        </w:rPr>
      </w:pPr>
      <w:bookmarkStart w:id="153" w:name="_DV_M105"/>
      <w:bookmarkEnd w:id="153"/>
      <w:r>
        <w:rPr>
          <w:color w:val="000000"/>
          <w:u w:val="single"/>
        </w:rPr>
        <w:tab/>
        <w:tab/>
        <w:tab/>
        <w:tab/>
        <w:tab/>
        <w:tab/>
        <w:tab/>
      </w:r>
    </w:p>
    <w:p>
      <w:pPr>
        <w:pStyle w:val="Normal"/>
        <w:ind w:start="4320" w:end="0"/>
        <w:rPr>
          <w:color w:val="000000"/>
        </w:rPr>
      </w:pPr>
      <w:bookmarkStart w:id="154" w:name="_DV_M106"/>
      <w:bookmarkEnd w:id="154"/>
      <w:r>
        <w:rPr>
          <w:color w:val="000000"/>
        </w:rPr>
        <w:t>R. Martin Chavez</w:t>
      </w:r>
    </w:p>
    <w:p>
      <w:pPr>
        <w:pStyle w:val="Normal"/>
        <w:ind w:start="4320" w:end="0"/>
        <w:rPr>
          <w:color w:val="000000"/>
        </w:rPr>
      </w:pPr>
      <w:r>
        <w:rPr>
          <w:color w:val="000000"/>
        </w:rPr>
      </w:r>
    </w:p>
    <w:p>
      <w:pPr>
        <w:pStyle w:val="Normal"/>
        <w:ind w:hanging="720" w:start="5040" w:end="0"/>
        <w:rPr>
          <w:color w:val="000000"/>
        </w:rPr>
      </w:pPr>
      <w:r>
        <w:rPr>
          <w:color w:val="000000"/>
        </w:rPr>
      </w:r>
    </w:p>
    <w:p>
      <w:pPr>
        <w:pStyle w:val="Normal"/>
        <w:tabs>
          <w:tab w:val="clear" w:pos="720"/>
          <w:tab w:val="left" w:pos="-720" w:leader="none"/>
        </w:tabs>
        <w:suppressAutoHyphens w:val="true"/>
        <w:ind w:start="4320" w:end="0"/>
        <w:rPr>
          <w:color w:val="000000"/>
          <w:u w:val="single"/>
        </w:rPr>
      </w:pPr>
      <w:bookmarkStart w:id="155" w:name="_DV_M107"/>
      <w:bookmarkEnd w:id="155"/>
      <w:r>
        <w:rPr>
          <w:color w:val="000000"/>
          <w:u w:val="single"/>
        </w:rPr>
        <w:tab/>
        <w:tab/>
        <w:tab/>
        <w:tab/>
        <w:tab/>
        <w:tab/>
        <w:tab/>
      </w:r>
    </w:p>
    <w:p>
      <w:pPr>
        <w:pStyle w:val="Normal"/>
        <w:tabs>
          <w:tab w:val="clear" w:pos="720"/>
          <w:tab w:val="left" w:pos="-720" w:leader="none"/>
        </w:tabs>
        <w:suppressAutoHyphens w:val="true"/>
        <w:ind w:start="4320" w:end="0"/>
        <w:rPr>
          <w:color w:val="000000"/>
        </w:rPr>
      </w:pPr>
      <w:bookmarkStart w:id="156" w:name="_DV_M108"/>
      <w:bookmarkEnd w:id="156"/>
      <w:r>
        <w:rPr>
          <w:color w:val="000000"/>
        </w:rPr>
        <w:t>Raj Mahajan</w:t>
      </w:r>
    </w:p>
    <w:p>
      <w:pPr>
        <w:pStyle w:val="Normal"/>
        <w:ind w:hanging="720" w:start="5040" w:end="0"/>
        <w:rPr>
          <w:color w:val="000000"/>
        </w:rPr>
      </w:pPr>
      <w:r>
        <w:rPr>
          <w:color w:val="000000"/>
        </w:rPr>
      </w:r>
    </w:p>
    <w:p>
      <w:pPr>
        <w:pStyle w:val="Normal"/>
        <w:ind w:hanging="720" w:start="5040" w:end="0"/>
        <w:rPr>
          <w:color w:val="000000"/>
        </w:rPr>
      </w:pPr>
      <w:r>
        <w:rPr>
          <w:color w:val="000000"/>
        </w:rPr>
      </w:r>
    </w:p>
    <w:p>
      <w:pPr>
        <w:pStyle w:val="Normal"/>
        <w:ind w:start="4320" w:end="0"/>
        <w:rPr>
          <w:color w:val="000000"/>
        </w:rPr>
      </w:pPr>
      <w:r>
        <w:rPr>
          <w:color w:val="000000"/>
        </w:rPr>
      </w:r>
    </w:p>
    <w:p>
      <w:pPr>
        <w:pStyle w:val="Normal"/>
        <w:tabs>
          <w:tab w:val="clear" w:pos="720"/>
          <w:tab w:val="left" w:pos="-720" w:leader="none"/>
        </w:tabs>
        <w:suppressAutoHyphens w:val="true"/>
        <w:ind w:start="4320" w:end="0"/>
        <w:rPr>
          <w:color w:val="000000"/>
        </w:rPr>
      </w:pPr>
      <w:r>
        <w:rPr>
          <w:color w:val="000000"/>
        </w:rPr>
      </w:r>
    </w:p>
    <w:p>
      <w:pPr>
        <w:pStyle w:val="Normal"/>
        <w:tabs>
          <w:tab w:val="clear" w:pos="720"/>
          <w:tab w:val="left" w:pos="-720" w:leader="none"/>
        </w:tabs>
        <w:suppressAutoHyphens w:val="true"/>
        <w:ind w:start="4320" w:end="0"/>
        <w:rPr>
          <w:b/>
          <w:bCs/>
          <w:color w:val="000000"/>
        </w:rPr>
      </w:pPr>
      <w:bookmarkStart w:id="157" w:name="_DV_M109"/>
      <w:bookmarkEnd w:id="157"/>
      <w:r>
        <w:rPr>
          <w:b/>
          <w:bCs/>
          <w:color w:val="000000"/>
        </w:rPr>
        <w:t>ENRON NET WORKS INVESTMENTS LLC</w:t>
      </w:r>
    </w:p>
    <w:p>
      <w:pPr>
        <w:pStyle w:val="Normal"/>
        <w:tabs>
          <w:tab w:val="clear" w:pos="720"/>
          <w:tab w:val="left" w:pos="-720" w:leader="none"/>
        </w:tabs>
        <w:suppressAutoHyphens w:val="true"/>
        <w:ind w:start="4320" w:end="0"/>
        <w:rPr>
          <w:b/>
          <w:bCs/>
          <w:color w:val="000000"/>
        </w:rPr>
      </w:pPr>
      <w:r>
        <w:rPr>
          <w:b/>
          <w:bCs/>
          <w:color w:val="000000"/>
        </w:rPr>
      </w:r>
    </w:p>
    <w:p>
      <w:pPr>
        <w:pStyle w:val="Normal"/>
        <w:tabs>
          <w:tab w:val="clear" w:pos="720"/>
          <w:tab w:val="left" w:pos="-720" w:leader="none"/>
        </w:tabs>
        <w:suppressAutoHyphens w:val="true"/>
        <w:ind w:start="4320" w:end="0"/>
        <w:rPr>
          <w:color w:val="000000"/>
        </w:rPr>
      </w:pPr>
      <w:r>
        <w:rPr>
          <w:color w:val="000000"/>
        </w:rPr>
      </w:r>
    </w:p>
    <w:p>
      <w:pPr>
        <w:pStyle w:val="Normal"/>
        <w:tabs>
          <w:tab w:val="clear" w:pos="720"/>
          <w:tab w:val="left" w:pos="-720" w:leader="none"/>
        </w:tabs>
        <w:suppressAutoHyphens w:val="true"/>
        <w:ind w:start="4320" w:end="0"/>
        <w:rPr>
          <w:color w:val="000000"/>
        </w:rPr>
      </w:pPr>
      <w:bookmarkStart w:id="158" w:name="_DV_M110"/>
      <w:bookmarkEnd w:id="158"/>
      <w:r>
        <w:rPr>
          <w:color w:val="000000"/>
        </w:rPr>
        <w:t>By:</w:t>
        <w:tab/>
      </w:r>
      <w:r>
        <w:rPr>
          <w:color w:val="000000"/>
          <w:u w:val="single"/>
        </w:rPr>
        <w:tab/>
        <w:tab/>
        <w:tab/>
        <w:tab/>
        <w:tab/>
        <w:tab/>
      </w:r>
    </w:p>
    <w:p>
      <w:pPr>
        <w:pStyle w:val="Normal"/>
        <w:tabs>
          <w:tab w:val="clear" w:pos="720"/>
          <w:tab w:val="left" w:pos="-720" w:leader="none"/>
        </w:tabs>
        <w:suppressAutoHyphens w:val="true"/>
        <w:ind w:start="4320" w:end="0"/>
        <w:rPr/>
      </w:pPr>
      <w:bookmarkStart w:id="159" w:name="_DV_M111"/>
      <w:bookmarkEnd w:id="159"/>
      <w:r>
        <w:rPr>
          <w:color w:val="000000"/>
        </w:rPr>
        <w:t>Name:</w:t>
        <w:tab/>
      </w:r>
      <w:r>
        <w:rPr>
          <w:color w:val="000000"/>
          <w:u w:val="single"/>
        </w:rPr>
        <w:tab/>
        <w:tab/>
        <w:tab/>
        <w:tab/>
        <w:tab/>
        <w:tab/>
      </w:r>
    </w:p>
    <w:p>
      <w:pPr>
        <w:pStyle w:val="Normal"/>
        <w:tabs>
          <w:tab w:val="clear" w:pos="720"/>
          <w:tab w:val="left" w:pos="-720" w:leader="none"/>
        </w:tabs>
        <w:suppressAutoHyphens w:val="true"/>
        <w:ind w:start="4320" w:end="0"/>
        <w:rPr/>
      </w:pPr>
      <w:bookmarkStart w:id="160" w:name="_DV_M112"/>
      <w:bookmarkEnd w:id="160"/>
      <w:r>
        <w:rPr>
          <w:color w:val="000000"/>
        </w:rPr>
        <w:t>Title:</w:t>
        <w:tab/>
      </w:r>
      <w:r>
        <w:rPr>
          <w:color w:val="000000"/>
          <w:u w:val="single"/>
        </w:rPr>
        <w:tab/>
        <w:tab/>
        <w:tab/>
        <w:tab/>
        <w:tab/>
        <w:tab/>
      </w:r>
    </w:p>
    <w:p>
      <w:pPr>
        <w:pStyle w:val="Normal"/>
        <w:tabs>
          <w:tab w:val="clear" w:pos="720"/>
          <w:tab w:val="left" w:pos="-720" w:leader="none"/>
        </w:tabs>
        <w:suppressAutoHyphens w:val="true"/>
        <w:ind w:start="4320" w:end="0"/>
        <w:rPr>
          <w:color w:val="000000"/>
          <w:u w:val="single"/>
        </w:rPr>
      </w:pPr>
      <w:r>
        <w:rPr>
          <w:color w:val="000000"/>
          <w:u w:val="single"/>
        </w:rPr>
      </w:r>
    </w:p>
    <w:p>
      <w:pPr>
        <w:pStyle w:val="Normal"/>
        <w:tabs>
          <w:tab w:val="clear" w:pos="720"/>
          <w:tab w:val="left" w:pos="-720" w:leader="none"/>
        </w:tabs>
        <w:suppressAutoHyphens w:val="true"/>
        <w:ind w:start="4320" w:end="0"/>
        <w:rPr>
          <w:color w:val="000000"/>
        </w:rPr>
      </w:pPr>
      <w:r>
        <w:rPr>
          <w:color w:val="000000"/>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720" w:leader="none"/>
        </w:tabs>
        <w:suppressAutoHyphens w:val="true"/>
        <w:ind w:start="4320" w:end="0"/>
        <w:rPr>
          <w:color w:val="000000"/>
        </w:rPr>
      </w:pPr>
      <w:r>
        <w:rPr>
          <w:color w:val="000000"/>
        </w:rPr>
      </w:r>
    </w:p>
    <w:p>
      <w:pPr>
        <w:pStyle w:val="Normal"/>
        <w:tabs>
          <w:tab w:val="clear" w:pos="720"/>
          <w:tab w:val="left" w:pos="-720" w:leader="none"/>
        </w:tabs>
        <w:suppressAutoHyphens w:val="true"/>
        <w:jc w:val="center"/>
        <w:rPr>
          <w:b/>
          <w:bCs/>
          <w:color w:val="000000"/>
          <w:u w:val="single"/>
        </w:rPr>
      </w:pPr>
      <w:bookmarkStart w:id="163" w:name="_DV_M113"/>
      <w:bookmarkEnd w:id="163"/>
      <w:r>
        <w:rPr>
          <w:b/>
          <w:bCs/>
          <w:color w:val="000000"/>
          <w:u w:val="single"/>
        </w:rPr>
        <w:t>STOCKHOLDERS</w:t>
      </w:r>
    </w:p>
    <w:p>
      <w:pPr>
        <w:pStyle w:val="Normal"/>
        <w:tabs>
          <w:tab w:val="clear" w:pos="720"/>
          <w:tab w:val="left" w:pos="-720" w:leader="none"/>
        </w:tabs>
        <w:suppressAutoHyphens w:val="true"/>
        <w:rPr>
          <w:b/>
          <w:bCs/>
          <w:color w:val="000000"/>
          <w:u w:val="single"/>
        </w:rPr>
      </w:pPr>
      <w:r>
        <w:rPr>
          <w:b/>
          <w:bCs/>
          <w:color w:val="000000"/>
          <w:u w:val="single"/>
        </w:rPr>
      </w:r>
    </w:p>
    <w:tbl>
      <w:tblPr>
        <w:tblW w:w="9576" w:type="dxa"/>
        <w:jc w:val="center"/>
        <w:tblInd w:w="0" w:type="dxa"/>
        <w:tblLayout w:type="fixed"/>
        <w:tblCellMar>
          <w:top w:w="0" w:type="dxa"/>
          <w:start w:w="108" w:type="dxa"/>
          <w:bottom w:w="0" w:type="dxa"/>
          <w:end w:w="108" w:type="dxa"/>
        </w:tblCellMar>
      </w:tblPr>
      <w:tblGrid>
        <w:gridCol w:w="2495"/>
        <w:gridCol w:w="3708"/>
        <w:gridCol w:w="3373"/>
      </w:tblGrid>
      <w:tr>
        <w:trPr>
          <w:tblHeader w:val="true"/>
        </w:trPr>
        <w:tc>
          <w:tcPr>
            <w:tcW w:w="2495" w:type="dxa"/>
            <w:tcBorders>
              <w:top w:val="single" w:sz="12" w:space="0" w:color="008000"/>
              <w:bottom w:val="single" w:sz="6" w:space="0" w:color="008000"/>
            </w:tcBorders>
          </w:tcPr>
          <w:p>
            <w:pPr>
              <w:pStyle w:val="Normal"/>
              <w:tabs>
                <w:tab w:val="clear" w:pos="720"/>
                <w:tab w:val="left" w:pos="-720" w:leader="none"/>
              </w:tabs>
              <w:suppressAutoHyphens w:val="true"/>
              <w:snapToGrid w:val="false"/>
              <w:rPr/>
            </w:pPr>
            <w:r>
              <w:rPr/>
            </w:r>
          </w:p>
        </w:tc>
        <w:tc>
          <w:tcPr>
            <w:tcW w:w="3708" w:type="dxa"/>
            <w:tcBorders>
              <w:top w:val="single" w:sz="12" w:space="0" w:color="008000"/>
              <w:bottom w:val="single" w:sz="6" w:space="0" w:color="008000"/>
            </w:tcBorders>
            <w:vAlign w:val="bottom"/>
          </w:tcPr>
          <w:p>
            <w:pPr>
              <w:pStyle w:val="Normal"/>
              <w:tabs>
                <w:tab w:val="clear" w:pos="720"/>
                <w:tab w:val="right" w:pos="2862" w:leader="none"/>
              </w:tabs>
              <w:suppressAutoHyphens w:val="true"/>
              <w:rPr>
                <w:sz w:val="22"/>
                <w:szCs w:val="22"/>
                <w:u w:val="single"/>
              </w:rPr>
            </w:pPr>
            <w:bookmarkStart w:id="164" w:name="_DV_M114"/>
            <w:bookmarkEnd w:id="164"/>
            <w:r>
              <w:rPr>
                <w:sz w:val="22"/>
                <w:szCs w:val="22"/>
                <w:u w:val="single"/>
              </w:rPr>
              <w:t>Name</w:t>
              <w:tab/>
            </w:r>
          </w:p>
        </w:tc>
        <w:tc>
          <w:tcPr>
            <w:tcW w:w="3373" w:type="dxa"/>
            <w:tcBorders>
              <w:top w:val="single" w:sz="12" w:space="0" w:color="008000"/>
              <w:bottom w:val="single" w:sz="6" w:space="0" w:color="008000"/>
            </w:tcBorders>
            <w:vAlign w:val="bottom"/>
          </w:tcPr>
          <w:p>
            <w:pPr>
              <w:pStyle w:val="Normal"/>
              <w:tabs>
                <w:tab w:val="clear" w:pos="720"/>
                <w:tab w:val="left" w:pos="-720" w:leader="none"/>
                <w:tab w:val="right" w:pos="1692" w:leader="none"/>
              </w:tabs>
              <w:suppressAutoHyphens w:val="true"/>
              <w:ind w:end="342"/>
              <w:rPr/>
            </w:pPr>
            <w:bookmarkStart w:id="165" w:name="_DV_M115"/>
            <w:bookmarkEnd w:id="165"/>
            <w:r>
              <w:rPr>
                <w:sz w:val="22"/>
                <w:szCs w:val="22"/>
              </w:rPr>
              <w:t xml:space="preserve">Shares of Common Stock </w:t>
            </w:r>
            <w:r>
              <w:rPr>
                <w:sz w:val="22"/>
                <w:szCs w:val="22"/>
                <w:u w:val="single"/>
              </w:rPr>
              <w:t>Owned</w:t>
              <w:tab/>
            </w:r>
          </w:p>
        </w:tc>
      </w:tr>
      <w:tr>
        <w:trPr/>
        <w:tc>
          <w:tcPr>
            <w:tcW w:w="2495" w:type="dxa"/>
            <w:tcBorders/>
          </w:tcPr>
          <w:p>
            <w:pPr>
              <w:pStyle w:val="Normal"/>
              <w:tabs>
                <w:tab w:val="clear" w:pos="720"/>
                <w:tab w:val="left" w:pos="-720" w:leader="none"/>
              </w:tabs>
              <w:suppressAutoHyphens w:val="true"/>
              <w:snapToGrid w:val="false"/>
              <w:rPr>
                <w:sz w:val="22"/>
                <w:szCs w:val="22"/>
                <w:u w:val="single"/>
              </w:rPr>
            </w:pPr>
            <w:r>
              <w:rPr>
                <w:sz w:val="22"/>
                <w:szCs w:val="22"/>
                <w:u w:val="single"/>
              </w:rPr>
            </w:r>
          </w:p>
        </w:tc>
        <w:tc>
          <w:tcPr>
            <w:tcW w:w="3708" w:type="dxa"/>
            <w:tcBorders/>
          </w:tcPr>
          <w:p>
            <w:pPr>
              <w:pStyle w:val="Normal"/>
              <w:tabs>
                <w:tab w:val="clear" w:pos="720"/>
                <w:tab w:val="right" w:pos="2862" w:leader="none"/>
              </w:tabs>
              <w:suppressAutoHyphens w:val="true"/>
              <w:snapToGrid w:val="false"/>
              <w:rPr>
                <w:sz w:val="22"/>
                <w:szCs w:val="22"/>
              </w:rPr>
            </w:pPr>
            <w:r>
              <w:rPr>
                <w:sz w:val="22"/>
                <w:szCs w:val="22"/>
              </w:rPr>
            </w:r>
          </w:p>
        </w:tc>
        <w:tc>
          <w:tcPr>
            <w:tcW w:w="3373" w:type="dxa"/>
            <w:tcBorders/>
          </w:tcPr>
          <w:p>
            <w:pPr>
              <w:pStyle w:val="Normal"/>
              <w:tabs>
                <w:tab w:val="clear" w:pos="720"/>
                <w:tab w:val="left" w:pos="-720" w:leader="none"/>
                <w:tab w:val="right" w:pos="1692" w:leader="none"/>
              </w:tabs>
              <w:suppressAutoHyphens w:val="true"/>
              <w:snapToGrid w:val="false"/>
              <w:ind w:end="342"/>
              <w:rPr>
                <w:sz w:val="22"/>
                <w:szCs w:val="22"/>
              </w:rPr>
            </w:pPr>
            <w:r>
              <w:rPr>
                <w:sz w:val="22"/>
                <w:szCs w:val="22"/>
              </w:rPr>
            </w:r>
          </w:p>
        </w:tc>
      </w:tr>
      <w:tr>
        <w:trPr/>
        <w:tc>
          <w:tcPr>
            <w:tcW w:w="2495" w:type="dxa"/>
            <w:tcBorders/>
          </w:tcPr>
          <w:p>
            <w:pPr>
              <w:pStyle w:val="Normal"/>
              <w:tabs>
                <w:tab w:val="clear" w:pos="720"/>
                <w:tab w:val="left" w:pos="-720" w:leader="none"/>
              </w:tabs>
              <w:suppressAutoHyphens w:val="true"/>
              <w:rPr>
                <w:sz w:val="22"/>
                <w:szCs w:val="22"/>
              </w:rPr>
            </w:pPr>
            <w:bookmarkStart w:id="166" w:name="_DV_M116"/>
            <w:bookmarkEnd w:id="166"/>
            <w:r>
              <w:rPr>
                <w:sz w:val="22"/>
                <w:szCs w:val="22"/>
              </w:rPr>
              <w:t>FOUNDERS</w:t>
            </w:r>
          </w:p>
        </w:tc>
        <w:tc>
          <w:tcPr>
            <w:tcW w:w="3708" w:type="dxa"/>
            <w:tcBorders/>
          </w:tcPr>
          <w:p>
            <w:pPr>
              <w:pStyle w:val="Normal"/>
              <w:tabs>
                <w:tab w:val="clear" w:pos="720"/>
                <w:tab w:val="left" w:pos="-720" w:leader="none"/>
              </w:tabs>
              <w:suppressAutoHyphens w:val="true"/>
              <w:rPr>
                <w:sz w:val="22"/>
                <w:szCs w:val="22"/>
              </w:rPr>
            </w:pPr>
            <w:bookmarkStart w:id="167" w:name="_DV_M117"/>
            <w:bookmarkEnd w:id="167"/>
            <w:r>
              <w:rPr>
                <w:sz w:val="22"/>
                <w:szCs w:val="22"/>
              </w:rPr>
              <w:t>R. Martin Chavez</w:t>
            </w:r>
          </w:p>
          <w:p>
            <w:pPr>
              <w:pStyle w:val="Normal"/>
              <w:tabs>
                <w:tab w:val="clear" w:pos="720"/>
                <w:tab w:val="left" w:pos="-720" w:leader="none"/>
              </w:tabs>
              <w:suppressAutoHyphens w:val="true"/>
              <w:rPr>
                <w:sz w:val="22"/>
                <w:szCs w:val="22"/>
              </w:rPr>
            </w:pPr>
            <w:bookmarkStart w:id="168" w:name="_DV_M118"/>
            <w:bookmarkEnd w:id="168"/>
            <w:r>
              <w:rPr>
                <w:sz w:val="22"/>
                <w:szCs w:val="22"/>
              </w:rPr>
              <w:t>[Address]</w:t>
            </w:r>
          </w:p>
          <w:p>
            <w:pPr>
              <w:pStyle w:val="Normal"/>
              <w:tabs>
                <w:tab w:val="clear" w:pos="720"/>
                <w:tab w:val="left" w:pos="-720" w:leader="none"/>
              </w:tabs>
              <w:suppressAutoHyphens w:val="true"/>
              <w:rPr>
                <w:sz w:val="22"/>
                <w:szCs w:val="22"/>
              </w:rPr>
            </w:pPr>
            <w:r>
              <w:rPr>
                <w:sz w:val="22"/>
                <w:szCs w:val="22"/>
              </w:rPr>
            </w:r>
          </w:p>
          <w:p>
            <w:pPr>
              <w:pStyle w:val="Normal"/>
              <w:tabs>
                <w:tab w:val="clear" w:pos="720"/>
                <w:tab w:val="left" w:pos="-720" w:leader="none"/>
              </w:tabs>
              <w:suppressAutoHyphens w:val="true"/>
              <w:rPr>
                <w:sz w:val="22"/>
                <w:szCs w:val="22"/>
              </w:rPr>
            </w:pPr>
            <w:bookmarkStart w:id="169" w:name="_DV_M119"/>
            <w:bookmarkEnd w:id="169"/>
            <w:r>
              <w:rPr>
                <w:sz w:val="22"/>
                <w:szCs w:val="22"/>
              </w:rPr>
              <w:t>Raj Mahajan</w:t>
            </w:r>
          </w:p>
          <w:p>
            <w:pPr>
              <w:pStyle w:val="Normal"/>
              <w:tabs>
                <w:tab w:val="clear" w:pos="720"/>
                <w:tab w:val="left" w:pos="-720" w:leader="none"/>
              </w:tabs>
              <w:suppressAutoHyphens w:val="true"/>
              <w:rPr>
                <w:sz w:val="22"/>
                <w:szCs w:val="22"/>
              </w:rPr>
            </w:pPr>
            <w:bookmarkStart w:id="170" w:name="_DV_M120"/>
            <w:bookmarkEnd w:id="170"/>
            <w:r>
              <w:rPr>
                <w:sz w:val="22"/>
                <w:szCs w:val="22"/>
              </w:rPr>
              <w:t>[Address]</w:t>
            </w:r>
          </w:p>
          <w:p>
            <w:pPr>
              <w:pStyle w:val="Normal"/>
              <w:tabs>
                <w:tab w:val="clear" w:pos="720"/>
                <w:tab w:val="left" w:pos="-720" w:leader="none"/>
              </w:tabs>
              <w:suppressAutoHyphens w:val="true"/>
              <w:rPr>
                <w:sz w:val="22"/>
                <w:szCs w:val="22"/>
              </w:rPr>
            </w:pPr>
            <w:r>
              <w:rPr>
                <w:sz w:val="22"/>
                <w:szCs w:val="22"/>
              </w:rPr>
            </w:r>
          </w:p>
          <w:p>
            <w:pPr>
              <w:pStyle w:val="Normal"/>
              <w:tabs>
                <w:tab w:val="clear" w:pos="720"/>
                <w:tab w:val="left" w:pos="-720" w:leader="none"/>
              </w:tabs>
              <w:suppressAutoHyphens w:val="true"/>
              <w:rPr>
                <w:sz w:val="22"/>
                <w:szCs w:val="22"/>
              </w:rPr>
            </w:pPr>
            <w:r>
              <w:rPr>
                <w:sz w:val="22"/>
                <w:szCs w:val="22"/>
              </w:rPr>
            </w:r>
          </w:p>
        </w:tc>
        <w:tc>
          <w:tcPr>
            <w:tcW w:w="3373" w:type="dxa"/>
            <w:tcBorders/>
          </w:tcPr>
          <w:p>
            <w:pPr>
              <w:pStyle w:val="Normal"/>
              <w:tabs>
                <w:tab w:val="clear" w:pos="720"/>
                <w:tab w:val="left" w:pos="-720" w:leader="none"/>
                <w:tab w:val="decimal" w:pos="1422" w:leader="none"/>
              </w:tabs>
              <w:suppressAutoHyphens w:val="true"/>
              <w:snapToGrid w:val="false"/>
              <w:rPr>
                <w:sz w:val="22"/>
                <w:szCs w:val="22"/>
              </w:rPr>
            </w:pPr>
            <w:r>
              <w:rPr>
                <w:sz w:val="22"/>
                <w:szCs w:val="22"/>
              </w:rPr>
            </w:r>
          </w:p>
        </w:tc>
      </w:tr>
      <w:tr>
        <w:trPr/>
        <w:tc>
          <w:tcPr>
            <w:tcW w:w="2495" w:type="dxa"/>
            <w:tcBorders>
              <w:bottom w:val="single" w:sz="12" w:space="0" w:color="008000"/>
            </w:tcBorders>
          </w:tcPr>
          <w:p>
            <w:pPr>
              <w:pStyle w:val="Normal"/>
              <w:tabs>
                <w:tab w:val="clear" w:pos="720"/>
                <w:tab w:val="left" w:pos="-720" w:leader="none"/>
              </w:tabs>
              <w:suppressAutoHyphens w:val="true"/>
              <w:snapToGrid w:val="false"/>
              <w:rPr>
                <w:sz w:val="22"/>
                <w:szCs w:val="22"/>
              </w:rPr>
            </w:pPr>
            <w:r>
              <w:rPr>
                <w:sz w:val="22"/>
                <w:szCs w:val="22"/>
              </w:rPr>
            </w:r>
          </w:p>
          <w:p>
            <w:pPr>
              <w:pStyle w:val="Normal"/>
              <w:tabs>
                <w:tab w:val="clear" w:pos="720"/>
                <w:tab w:val="left" w:pos="-720" w:leader="none"/>
              </w:tabs>
              <w:suppressAutoHyphens w:val="true"/>
              <w:rPr>
                <w:sz w:val="22"/>
                <w:szCs w:val="22"/>
              </w:rPr>
            </w:pPr>
            <w:bookmarkStart w:id="171" w:name="_DV_M121"/>
            <w:bookmarkEnd w:id="171"/>
            <w:r>
              <w:rPr>
                <w:sz w:val="22"/>
                <w:szCs w:val="22"/>
              </w:rPr>
              <w:t>INVESTOR</w:t>
            </w:r>
          </w:p>
        </w:tc>
        <w:tc>
          <w:tcPr>
            <w:tcW w:w="3708" w:type="dxa"/>
            <w:tcBorders>
              <w:bottom w:val="single" w:sz="12" w:space="0" w:color="008000"/>
            </w:tcBorders>
          </w:tcPr>
          <w:p>
            <w:pPr>
              <w:pStyle w:val="Normal"/>
              <w:tabs>
                <w:tab w:val="clear" w:pos="720"/>
                <w:tab w:val="left" w:pos="7200" w:leader="none"/>
              </w:tabs>
              <w:rPr>
                <w:color w:val="000000"/>
                <w:sz w:val="22"/>
                <w:szCs w:val="22"/>
              </w:rPr>
            </w:pPr>
            <w:bookmarkStart w:id="172" w:name="_DV_M122"/>
            <w:bookmarkEnd w:id="172"/>
            <w:r>
              <w:rPr>
                <w:sz w:val="22"/>
                <w:szCs w:val="22"/>
              </w:rPr>
              <w:br/>
            </w:r>
            <w:bookmarkStart w:id="173" w:name="_DV_C53"/>
            <w:r>
              <w:rPr>
                <w:rStyle w:val="DeltaViewInsertion"/>
                <w:sz w:val="22"/>
                <w:szCs w:val="22"/>
              </w:rPr>
              <w:t>Enron Net Works LLC</w:t>
            </w:r>
            <w:bookmarkEnd w:id="173"/>
          </w:p>
          <w:p>
            <w:pPr>
              <w:pStyle w:val="Normal"/>
              <w:tabs>
                <w:tab w:val="clear" w:pos="720"/>
                <w:tab w:val="left" w:pos="7200" w:leader="none"/>
              </w:tabs>
              <w:rPr>
                <w:color w:val="000000"/>
                <w:sz w:val="22"/>
                <w:szCs w:val="22"/>
              </w:rPr>
            </w:pPr>
            <w:bookmarkStart w:id="174" w:name="_DV_C54"/>
            <w:bookmarkStart w:id="175" w:name="_DV_IPM4"/>
            <w:bookmarkEnd w:id="175"/>
            <w:r>
              <w:rPr>
                <w:rStyle w:val="DeltaViewInsertion"/>
                <w:sz w:val="22"/>
                <w:szCs w:val="22"/>
              </w:rPr>
              <w:t>780 Third Avenue</w:t>
            </w:r>
            <w:bookmarkEnd w:id="174"/>
          </w:p>
          <w:p>
            <w:pPr>
              <w:pStyle w:val="Normal"/>
              <w:tabs>
                <w:tab w:val="clear" w:pos="720"/>
                <w:tab w:val="left" w:pos="7200" w:leader="none"/>
              </w:tabs>
              <w:rPr>
                <w:color w:val="000000"/>
                <w:sz w:val="22"/>
                <w:szCs w:val="22"/>
              </w:rPr>
            </w:pPr>
            <w:bookmarkStart w:id="176" w:name="_DV_C55"/>
            <w:bookmarkStart w:id="177" w:name="_DV_IPM5"/>
            <w:bookmarkEnd w:id="177"/>
            <w:r>
              <w:rPr>
                <w:rStyle w:val="DeltaViewInsertion"/>
                <w:sz w:val="22"/>
                <w:szCs w:val="22"/>
              </w:rPr>
              <w:t>25th Floor</w:t>
            </w:r>
            <w:bookmarkEnd w:id="176"/>
          </w:p>
          <w:p>
            <w:pPr>
              <w:pStyle w:val="Normal"/>
              <w:tabs>
                <w:tab w:val="clear" w:pos="720"/>
                <w:tab w:val="left" w:pos="7200" w:leader="none"/>
              </w:tabs>
              <w:rPr>
                <w:color w:val="000000"/>
                <w:sz w:val="22"/>
                <w:szCs w:val="22"/>
              </w:rPr>
            </w:pPr>
            <w:bookmarkStart w:id="178" w:name="_DV_C56"/>
            <w:bookmarkStart w:id="179" w:name="_DV_IPM6"/>
            <w:bookmarkEnd w:id="179"/>
            <w:r>
              <w:rPr>
                <w:rStyle w:val="DeltaViewInsertion"/>
                <w:sz w:val="22"/>
                <w:szCs w:val="22"/>
              </w:rPr>
              <w:t>New York, New York  10017</w:t>
            </w:r>
            <w:bookmarkEnd w:id="178"/>
          </w:p>
          <w:p>
            <w:pPr>
              <w:pStyle w:val="Normal"/>
              <w:tabs>
                <w:tab w:val="clear" w:pos="720"/>
                <w:tab w:val="left" w:pos="7200" w:leader="none"/>
              </w:tabs>
              <w:rPr>
                <w:color w:val="000000"/>
                <w:sz w:val="22"/>
                <w:szCs w:val="22"/>
              </w:rPr>
            </w:pPr>
            <w:bookmarkStart w:id="180" w:name="_DV_C57"/>
            <w:bookmarkStart w:id="181" w:name="_DV_IPM7"/>
            <w:bookmarkEnd w:id="181"/>
            <w:r>
              <w:rPr>
                <w:rStyle w:val="DeltaViewInsertion"/>
                <w:sz w:val="22"/>
                <w:szCs w:val="22"/>
              </w:rPr>
              <w:t>Attn:  Jay Fitzgerald</w:t>
            </w:r>
            <w:bookmarkEnd w:id="180"/>
          </w:p>
          <w:p>
            <w:pPr>
              <w:pStyle w:val="Normal"/>
              <w:tabs>
                <w:tab w:val="clear" w:pos="720"/>
                <w:tab w:val="left" w:pos="7200" w:leader="none"/>
              </w:tabs>
              <w:rPr>
                <w:color w:val="000000"/>
                <w:sz w:val="22"/>
                <w:szCs w:val="22"/>
              </w:rPr>
            </w:pPr>
            <w:bookmarkStart w:id="182" w:name="_DV_C58"/>
            <w:bookmarkStart w:id="183" w:name="_DV_IPM8"/>
            <w:bookmarkEnd w:id="183"/>
            <w:r>
              <w:rPr>
                <w:rStyle w:val="DeltaViewInsertion"/>
                <w:sz w:val="22"/>
                <w:szCs w:val="22"/>
              </w:rPr>
              <w:t>Phone (212) 702-3934</w:t>
            </w:r>
            <w:bookmarkEnd w:id="182"/>
          </w:p>
          <w:p>
            <w:pPr>
              <w:pStyle w:val="Normal"/>
              <w:tabs>
                <w:tab w:val="clear" w:pos="720"/>
                <w:tab w:val="left" w:pos="7200" w:leader="none"/>
              </w:tabs>
              <w:rPr>
                <w:color w:val="000000"/>
                <w:sz w:val="22"/>
                <w:szCs w:val="22"/>
              </w:rPr>
            </w:pPr>
            <w:bookmarkStart w:id="184" w:name="_DV_C59"/>
            <w:bookmarkStart w:id="185" w:name="_DV_IPM9"/>
            <w:bookmarkEnd w:id="185"/>
            <w:r>
              <w:rPr>
                <w:rStyle w:val="DeltaViewInsertion"/>
                <w:sz w:val="22"/>
                <w:szCs w:val="22"/>
              </w:rPr>
              <w:t>Facsimile (212) 702-3950</w:t>
            </w:r>
            <w:bookmarkEnd w:id="184"/>
          </w:p>
          <w:p>
            <w:pPr>
              <w:pStyle w:val="Normal"/>
              <w:tabs>
                <w:tab w:val="clear" w:pos="720"/>
                <w:tab w:val="left" w:pos="7200" w:leader="none"/>
              </w:tabs>
              <w:rPr>
                <w:color w:val="000000"/>
                <w:sz w:val="22"/>
                <w:szCs w:val="22"/>
              </w:rPr>
            </w:pPr>
            <w:r>
              <w:rPr>
                <w:color w:val="000000"/>
                <w:sz w:val="22"/>
                <w:szCs w:val="22"/>
              </w:rPr>
            </w:r>
            <w:bookmarkStart w:id="186" w:name="_DV_IPM10"/>
            <w:bookmarkStart w:id="187" w:name="_DV_IPM10"/>
            <w:bookmarkEnd w:id="187"/>
          </w:p>
          <w:p>
            <w:pPr>
              <w:pStyle w:val="Normal"/>
              <w:tabs>
                <w:tab w:val="clear" w:pos="720"/>
                <w:tab w:val="left" w:pos="7200" w:leader="none"/>
              </w:tabs>
              <w:rPr>
                <w:color w:val="000000"/>
                <w:sz w:val="22"/>
                <w:szCs w:val="22"/>
              </w:rPr>
            </w:pPr>
            <w:bookmarkStart w:id="188" w:name="_DV_C60"/>
            <w:bookmarkStart w:id="189" w:name="_DV_IPM11"/>
            <w:bookmarkEnd w:id="189"/>
            <w:r>
              <w:rPr>
                <w:rStyle w:val="DeltaViewInsertion"/>
                <w:sz w:val="22"/>
                <w:szCs w:val="22"/>
              </w:rPr>
              <w:t>with a copy to:</w:t>
            </w:r>
            <w:bookmarkEnd w:id="188"/>
          </w:p>
          <w:p>
            <w:pPr>
              <w:pStyle w:val="Normal"/>
              <w:tabs>
                <w:tab w:val="clear" w:pos="720"/>
                <w:tab w:val="left" w:pos="7200" w:leader="none"/>
              </w:tabs>
              <w:rPr>
                <w:color w:val="000000"/>
                <w:sz w:val="22"/>
                <w:szCs w:val="22"/>
              </w:rPr>
            </w:pPr>
            <w:r>
              <w:rPr>
                <w:color w:val="000000"/>
                <w:sz w:val="22"/>
                <w:szCs w:val="22"/>
              </w:rPr>
            </w:r>
            <w:bookmarkStart w:id="190" w:name="_DV_IPM12"/>
            <w:bookmarkStart w:id="191" w:name="_DV_IPM12"/>
            <w:bookmarkEnd w:id="191"/>
          </w:p>
          <w:p>
            <w:pPr>
              <w:pStyle w:val="Normal"/>
              <w:tabs>
                <w:tab w:val="clear" w:pos="720"/>
                <w:tab w:val="left" w:pos="7200" w:leader="none"/>
              </w:tabs>
              <w:rPr>
                <w:color w:val="000000"/>
                <w:sz w:val="22"/>
                <w:szCs w:val="22"/>
              </w:rPr>
            </w:pPr>
            <w:bookmarkStart w:id="192" w:name="_DV_M123"/>
            <w:bookmarkStart w:id="193" w:name="_DV_IPM13"/>
            <w:bookmarkEnd w:id="192"/>
            <w:bookmarkEnd w:id="193"/>
            <w:r>
              <w:rPr>
                <w:color w:val="000000"/>
                <w:sz w:val="22"/>
                <w:szCs w:val="22"/>
              </w:rPr>
              <w:t>Enron Net Works Investments LLC</w:t>
            </w:r>
          </w:p>
          <w:p>
            <w:pPr>
              <w:pStyle w:val="Normal"/>
              <w:tabs>
                <w:tab w:val="clear" w:pos="720"/>
                <w:tab w:val="left" w:pos="7200" w:leader="none"/>
              </w:tabs>
              <w:rPr>
                <w:color w:val="000000"/>
                <w:sz w:val="22"/>
                <w:szCs w:val="22"/>
              </w:rPr>
            </w:pPr>
            <w:bookmarkStart w:id="194" w:name="_DV_M124"/>
            <w:bookmarkEnd w:id="194"/>
            <w:r>
              <w:rPr>
                <w:color w:val="000000"/>
                <w:sz w:val="22"/>
                <w:szCs w:val="22"/>
              </w:rPr>
              <w:t>1400 Smith Street</w:t>
            </w:r>
          </w:p>
          <w:p>
            <w:pPr>
              <w:pStyle w:val="Normal"/>
              <w:tabs>
                <w:tab w:val="clear" w:pos="720"/>
                <w:tab w:val="left" w:pos="7200" w:leader="none"/>
              </w:tabs>
              <w:rPr>
                <w:color w:val="000000"/>
                <w:sz w:val="22"/>
                <w:szCs w:val="22"/>
              </w:rPr>
            </w:pPr>
            <w:bookmarkStart w:id="195" w:name="_DV_M125"/>
            <w:bookmarkEnd w:id="195"/>
            <w:r>
              <w:rPr>
                <w:color w:val="000000"/>
                <w:sz w:val="22"/>
                <w:szCs w:val="22"/>
              </w:rPr>
              <w:t>Houston Texas, 77002-7361</w:t>
            </w:r>
          </w:p>
          <w:p>
            <w:pPr>
              <w:pStyle w:val="Normal"/>
              <w:tabs>
                <w:tab w:val="clear" w:pos="720"/>
                <w:tab w:val="left" w:pos="565" w:leader="none"/>
                <w:tab w:val="left" w:pos="7200" w:leader="none"/>
              </w:tabs>
              <w:rPr>
                <w:color w:val="000000"/>
                <w:sz w:val="22"/>
                <w:szCs w:val="22"/>
              </w:rPr>
            </w:pPr>
            <w:bookmarkStart w:id="196" w:name="_DV_M126"/>
            <w:bookmarkEnd w:id="196"/>
            <w:r>
              <w:rPr>
                <w:color w:val="000000"/>
                <w:sz w:val="22"/>
                <w:szCs w:val="22"/>
              </w:rPr>
              <w:t>Attn:</w:t>
              <w:tab/>
              <w:t xml:space="preserve">Compliance Department, </w:t>
            </w:r>
          </w:p>
          <w:p>
            <w:pPr>
              <w:pStyle w:val="Normal"/>
              <w:tabs>
                <w:tab w:val="clear" w:pos="720"/>
                <w:tab w:val="left" w:pos="565" w:leader="none"/>
                <w:tab w:val="left" w:pos="7200" w:leader="none"/>
              </w:tabs>
              <w:rPr>
                <w:color w:val="000000"/>
                <w:sz w:val="22"/>
                <w:szCs w:val="22"/>
              </w:rPr>
            </w:pPr>
            <w:bookmarkStart w:id="197" w:name="_DV_M127"/>
            <w:bookmarkEnd w:id="197"/>
            <w:r>
              <w:rPr>
                <w:color w:val="000000"/>
                <w:sz w:val="22"/>
                <w:szCs w:val="22"/>
              </w:rPr>
              <w:tab/>
              <w:t>Donna Lowry</w:t>
            </w:r>
          </w:p>
          <w:p>
            <w:pPr>
              <w:pStyle w:val="Normal"/>
              <w:tabs>
                <w:tab w:val="clear" w:pos="720"/>
                <w:tab w:val="left" w:pos="7200" w:leader="none"/>
              </w:tabs>
              <w:rPr>
                <w:color w:val="000000"/>
                <w:sz w:val="22"/>
                <w:szCs w:val="22"/>
              </w:rPr>
            </w:pPr>
            <w:bookmarkStart w:id="198" w:name="_DV_M128"/>
            <w:bookmarkEnd w:id="198"/>
            <w:r>
              <w:rPr>
                <w:color w:val="000000"/>
                <w:sz w:val="22"/>
                <w:szCs w:val="22"/>
              </w:rPr>
              <w:t>Phone (713) 853-1939</w:t>
            </w:r>
          </w:p>
          <w:p>
            <w:pPr>
              <w:pStyle w:val="Normal"/>
              <w:tabs>
                <w:tab w:val="clear" w:pos="720"/>
                <w:tab w:val="left" w:pos="7200" w:leader="none"/>
              </w:tabs>
              <w:rPr>
                <w:color w:val="000000"/>
                <w:sz w:val="22"/>
                <w:szCs w:val="22"/>
              </w:rPr>
            </w:pPr>
            <w:bookmarkStart w:id="199" w:name="_DV_M129"/>
            <w:bookmarkEnd w:id="199"/>
            <w:r>
              <w:rPr>
                <w:color w:val="000000"/>
                <w:sz w:val="22"/>
                <w:szCs w:val="22"/>
              </w:rPr>
              <w:t>Facsimile (713) 646-4039</w:t>
            </w:r>
          </w:p>
          <w:p>
            <w:pPr>
              <w:pStyle w:val="Normal"/>
              <w:tabs>
                <w:tab w:val="clear" w:pos="720"/>
                <w:tab w:val="left" w:pos="-720" w:leader="none"/>
              </w:tabs>
              <w:suppressAutoHyphens w:val="true"/>
              <w:rPr>
                <w:color w:val="000000"/>
                <w:sz w:val="22"/>
                <w:szCs w:val="22"/>
              </w:rPr>
            </w:pPr>
            <w:r>
              <w:rPr>
                <w:color w:val="000000"/>
                <w:sz w:val="22"/>
                <w:szCs w:val="22"/>
              </w:rPr>
            </w:r>
          </w:p>
        </w:tc>
        <w:tc>
          <w:tcPr>
            <w:tcW w:w="3373" w:type="dxa"/>
            <w:tcBorders>
              <w:bottom w:val="single" w:sz="12" w:space="0" w:color="008000"/>
            </w:tcBorders>
          </w:tcPr>
          <w:p>
            <w:pPr>
              <w:pStyle w:val="Normal"/>
              <w:tabs>
                <w:tab w:val="clear" w:pos="720"/>
                <w:tab w:val="left" w:pos="-720" w:leader="none"/>
                <w:tab w:val="decimal" w:pos="1422" w:leader="none"/>
              </w:tabs>
              <w:suppressAutoHyphens w:val="true"/>
              <w:snapToGrid w:val="false"/>
              <w:spacing w:before="240" w:after="0"/>
              <w:rPr>
                <w:color w:val="000000"/>
                <w:sz w:val="22"/>
                <w:szCs w:val="22"/>
              </w:rPr>
            </w:pPr>
            <w:r>
              <w:rPr>
                <w:color w:val="000000"/>
                <w:sz w:val="22"/>
                <w:szCs w:val="22"/>
              </w:rPr>
            </w:r>
          </w:p>
        </w:tc>
      </w:tr>
    </w:tbl>
    <w:p>
      <w:pPr>
        <w:pStyle w:val="Normal"/>
        <w:rPr>
          <w:color w:val="000000"/>
          <w:sz w:val="22"/>
          <w:szCs w:val="22"/>
        </w:rPr>
      </w:pPr>
      <w:r>
        <w:rPr>
          <w:color w:val="000000"/>
          <w:sz w:val="22"/>
          <w:szCs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DMSWORK2_HOU_Houston_458950_</w:t>
    </w:r>
    <w:bookmarkStart w:id="144" w:name="_DV_C1"/>
    <w:r>
      <w:rPr>
        <w:rStyle w:val="DeltaViewDeletion"/>
        <w:sz w:val="16"/>
        <w:szCs w:val="16"/>
        <w:lang w:val="en-CA" w:eastAsia="en-CA"/>
      </w:rPr>
      <w:t>3.</w:t>
    </w:r>
    <w:bookmarkStart w:id="145" w:name="_DV_C2"/>
    <w:bookmarkEnd w:id="144"/>
    <w:r>
      <w:rPr>
        <w:rStyle w:val="DeltaViewInsertion"/>
        <w:sz w:val="16"/>
        <w:szCs w:val="16"/>
        <w:lang w:val="en-CA" w:eastAsia="en-CA"/>
      </w:rPr>
      <w:t>5.</w:t>
    </w:r>
    <w:bookmarkEnd w:id="145"/>
    <w:r>
      <w:rPr>
        <w:rStyle w:val="VEDocumentInformation"/>
        <w:color w:val="000000"/>
        <w:lang w:val="en-CA" w:eastAsia="en-CA"/>
      </w:rPr>
      <w:t>DOC</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VEDocumentInformation"/>
      </w:rPr>
    </w:pPr>
    <w:r>
      <w:rPr>
        <w:rStyle w:val="VEDocumentInformation"/>
      </w:rPr>
      <w:t xml:space="preserve">Compared doc </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compared_2_22_v5_Stockholders_Agreement.DOC</w:t>
    </w:r>
    <w:r>
      <w:rPr>
        <w:rStyle w:val="VEDocumentInformation"/>
      </w:rPr>
      <w:fldChar w:fldCharType="end"/>
    </w:r>
  </w:p>
  <w:p>
    <w:pPr>
      <w:pStyle w:val="Footer"/>
      <w:rPr/>
    </w:pPr>
    <w:r>
      <w:rPr>
        <w:rStyle w:val="VEDocumentInformation"/>
        <w:lang w:val="en-CA" w:eastAsia="en-CA"/>
      </w:rPr>
      <w:t>DMSWORK2_HOU_Houston_458950_</w:t>
    </w:r>
    <w:bookmarkStart w:id="146" w:name="_DV_C5"/>
    <w:r>
      <w:rPr>
        <w:rStyle w:val="DeltaViewDeletion"/>
        <w:sz w:val="16"/>
        <w:szCs w:val="16"/>
        <w:lang w:val="en-CA" w:eastAsia="en-CA"/>
      </w:rPr>
      <w:t>3.</w:t>
    </w:r>
    <w:bookmarkStart w:id="147" w:name="_DV_C6"/>
    <w:bookmarkEnd w:id="146"/>
    <w:r>
      <w:rPr>
        <w:rStyle w:val="DeltaViewInsertion"/>
        <w:sz w:val="16"/>
        <w:szCs w:val="16"/>
        <w:lang w:val="en-CA" w:eastAsia="en-CA"/>
      </w:rPr>
      <w:t>5.</w:t>
    </w:r>
    <w:bookmarkEnd w:id="147"/>
    <w:r>
      <w:rPr>
        <w:rStyle w:val="VEDocumentInformation"/>
        <w:color w:val="000000"/>
        <w:lang w:val="en-CA" w:eastAsia="en-CA"/>
      </w:rPr>
      <w: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t>[Signature Page to Kick.com Stockholders’ Agreement]</w:t>
    </w:r>
  </w:p>
  <w:p>
    <w:pPr>
      <w:pStyle w:val="Footer"/>
      <w:spacing w:lineRule="atLeast" w:line="1"/>
      <w:rPr/>
    </w:pPr>
    <w:r>
      <w:rPr>
        <w:vanish/>
        <w:sz w:val="20"/>
        <w:szCs w:val="20"/>
      </w:rPr>
      <w:t>|</w:t>
    </w:r>
    <w:r>
      <w:rPr>
        <w:sz w:val="20"/>
        <w:szCs w:val="20"/>
      </w:rPr>
      <w:t>ny-320578</w:t>
    </w:r>
    <w:r>
      <w:rPr>
        <w:vanish/>
        <w:sz w:val="20"/>
        <w:szCs w:val="20"/>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DMSWORK2_HOU_Houston_458950_</w:t>
    </w:r>
    <w:bookmarkStart w:id="161" w:name="_DV_C49"/>
    <w:r>
      <w:rPr>
        <w:rStyle w:val="DeltaViewDeletion"/>
        <w:sz w:val="16"/>
        <w:szCs w:val="16"/>
        <w:lang w:val="en-CA" w:eastAsia="en-CA"/>
      </w:rPr>
      <w:t>3.</w:t>
    </w:r>
    <w:bookmarkStart w:id="162" w:name="_DV_C50"/>
    <w:bookmarkEnd w:id="161"/>
    <w:r>
      <w:rPr>
        <w:rStyle w:val="DeltaViewInsertion"/>
        <w:sz w:val="16"/>
        <w:szCs w:val="16"/>
        <w:lang w:val="en-CA" w:eastAsia="en-CA"/>
      </w:rPr>
      <w:t>5.</w:t>
    </w:r>
    <w:bookmarkEnd w:id="162"/>
    <w:r>
      <w:rPr>
        <w:rStyle w:val="VEDocumentInformation"/>
        <w:color w:val="000000"/>
        <w:lang w:val="en-CA" w:eastAsia="en-CA"/>
      </w:rPr>
      <w:t>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
  </w:p>
  <w:p>
    <w:pPr>
      <w:pStyle w:val="Footer"/>
      <w:spacing w:lineRule="atLeast" w:line="1"/>
      <w:rPr/>
    </w:pPr>
    <w:r>
      <w:rPr>
        <w:vanish/>
        <w:sz w:val="20"/>
        <w:szCs w:val="20"/>
      </w:rPr>
      <w:t>|</w:t>
    </w:r>
    <w:r>
      <w:rPr>
        <w:sz w:val="20"/>
        <w:szCs w:val="20"/>
      </w:rPr>
      <w:t>ny-320578</w:t>
    </w:r>
    <w:r>
      <w:rPr>
        <w:vanish/>
        <w:sz w:val="20"/>
        <w:szCs w:val="20"/>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DMSWORK2_HOU_Houston_458950_</w:t>
    </w:r>
    <w:bookmarkStart w:id="200" w:name="_DV_C51"/>
    <w:r>
      <w:rPr>
        <w:rStyle w:val="DeltaViewDeletion"/>
        <w:sz w:val="16"/>
        <w:szCs w:val="16"/>
        <w:lang w:val="en-CA" w:eastAsia="en-CA"/>
      </w:rPr>
      <w:t>3.</w:t>
    </w:r>
    <w:bookmarkStart w:id="201" w:name="_DV_C52"/>
    <w:bookmarkEnd w:id="200"/>
    <w:r>
      <w:rPr>
        <w:rStyle w:val="DeltaViewInsertion"/>
        <w:sz w:val="16"/>
        <w:szCs w:val="16"/>
        <w:lang w:val="en-CA" w:eastAsia="en-CA"/>
      </w:rPr>
      <w:t>5.</w:t>
    </w:r>
    <w:bookmarkEnd w:id="201"/>
    <w:r>
      <w:rPr>
        <w:rStyle w:val="VEDocumentInformation"/>
        <w:color w:val="000000"/>
        <w:lang w:val="en-CA" w:eastAsia="en-CA"/>
      </w:rPr>
      <w: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450" w:start="5040" w:end="0"/>
      <w:jc w:val="end"/>
      <w:rPr>
        <w:b/>
        <w:bCs/>
      </w:rPr>
    </w:pPr>
    <w:r>
      <mc:AlternateContent>
        <mc:Choice Requires="wps">
          <w:drawing>
            <wp:anchor behindDoc="0" distT="0" distB="0" distL="114935" distR="114935" simplePos="0" locked="0" layoutInCell="0" allowOverlap="1" relativeHeight="12">
              <wp:simplePos x="0" y="0"/>
              <wp:positionH relativeFrom="column">
                <wp:posOffset>-822960</wp:posOffset>
              </wp:positionH>
              <wp:positionV relativeFrom="paragraph">
                <wp:posOffset>635</wp:posOffset>
              </wp:positionV>
              <wp:extent cx="91440" cy="91440"/>
              <wp:effectExtent l="5080" t="5080" r="5080" b="5080"/>
              <wp:wrapTopAndBottom/>
              <wp:docPr id="1" name="ODMA fix"/>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ID="ODMA fix" fillcolor="white" stroked="t" o:allowincell="f" style="position:absolute;margin-left:-64.8pt;margin-top:0pt;width:7.15pt;height:7.15pt;mso-wrap-style:none;v-text-anchor:middle">
              <v:fill o:detectmouseclick="t" type="solid" color2="black"/>
              <v:stroke color="white" weight="9360" joinstyle="miter" endcap="flat"/>
              <w10:wrap type="topAndBottom"/>
            </v:rect>
          </w:pict>
        </mc:Fallback>
      </mc:AlternateContent>
    </w:r>
    <w:r>
      <w:rPr>
        <w:b/>
        <w:bCs/>
      </w:rPr>
      <w:t>Enron version</w:t>
    </w:r>
  </w:p>
  <w:p>
    <w:pPr>
      <w:pStyle w:val="Normal"/>
      <w:ind w:firstLine="720" w:start="5040" w:end="0"/>
      <w:jc w:val="end"/>
      <w:rPr/>
    </w:pPr>
    <w:r>
      <w:rPr>
        <w:b/>
        <w:bCs/>
      </w:rPr>
      <w:t>02/</w:t>
    </w:r>
    <w:bookmarkStart w:id="142" w:name="_DV_C3"/>
    <w:r>
      <w:rPr>
        <w:rStyle w:val="DeltaViewDeletion"/>
        <w:b/>
        <w:bCs/>
      </w:rPr>
      <w:t>07</w:t>
    </w:r>
    <w:bookmarkStart w:id="143" w:name="_DV_C4"/>
    <w:bookmarkEnd w:id="142"/>
    <w:r>
      <w:rPr>
        <w:rStyle w:val="DeltaViewInsertion"/>
      </w:rPr>
      <w:t>22</w:t>
    </w:r>
    <w:bookmarkEnd w:id="143"/>
    <w:r>
      <w:rPr>
        <w:b/>
        <w:bCs/>
        <w:color w:val="000000"/>
      </w:rPr>
      <w:t>/01</w:t>
    </w:r>
  </w:p>
  <w:p>
    <w:pPr>
      <w:pStyle w:val="Normal"/>
      <w:rPr>
        <w:b/>
        <w:bCs/>
        <w:color w:val="000000"/>
      </w:rPr>
    </w:pPr>
    <w:r>
      <w:rPr>
        <w:b/>
        <w:bCs/>
        <w:color w:val="000000"/>
      </w:rPr>
    </w:r>
  </w:p>
  <w:p>
    <w:pPr>
      <w:pStyle w:val="Header"/>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suff w:val="nothing"/>
      <w:lvlText w:val="%1."/>
      <w:lvlJc w:val="start"/>
      <w:pPr>
        <w:tabs>
          <w:tab w:val="num" w:pos="0"/>
        </w:tabs>
        <w:ind w:start="0" w:hanging="0"/>
      </w:pPr>
      <w:rPr>
        <w:sz w:val="28"/>
        <w:spacing w:val="0"/>
        <w:i w:val="false"/>
        <w:b/>
        <w:szCs w:val="28"/>
      </w:rPr>
    </w:lvl>
    <w:lvl w:ilvl="1">
      <w:start w:val="1"/>
      <w:numFmt w:val="upperLetter"/>
      <w:lvlText w:val="%2."/>
      <w:lvlJc w:val="start"/>
      <w:pPr>
        <w:tabs>
          <w:tab w:val="num" w:pos="1440"/>
        </w:tabs>
        <w:ind w:start="1440" w:hanging="720"/>
      </w:pPr>
      <w:rPr>
        <w:sz w:val="24"/>
        <w:spacing w:val="0"/>
        <w:i w:val="false"/>
        <w:b w:val="false"/>
        <w:szCs w:val="24"/>
        <w:rFonts w:ascii="Times New Roman" w:hAnsi="Times New Roman" w:cs="Times New Roman"/>
      </w:rPr>
    </w:lvl>
    <w:lvl w:ilvl="2">
      <w:start w:val="1"/>
      <w:numFmt w:val="decimal"/>
      <w:lvlText w:val="%3."/>
      <w:lvlJc w:val="start"/>
      <w:pPr>
        <w:tabs>
          <w:tab w:val="num" w:pos="2160"/>
        </w:tabs>
        <w:ind w:start="2160" w:hanging="720"/>
      </w:pPr>
      <w:rPr>
        <w:spacing w:val="0"/>
        <w:i/>
        <w:b/>
      </w:rPr>
    </w:lvl>
    <w:lvl w:ilvl="3">
      <w:start w:val="1"/>
      <w:numFmt w:val="lowerLetter"/>
      <w:lvlText w:val="(%4)"/>
      <w:lvlJc w:val="start"/>
      <w:pPr>
        <w:tabs>
          <w:tab w:val="num" w:pos="720"/>
        </w:tabs>
        <w:ind w:start="0" w:firstLine="2160"/>
      </w:pPr>
      <w:rPr>
        <w:spacing w:val="0"/>
      </w:rPr>
    </w:lvl>
    <w:lvl w:ilvl="4">
      <w:start w:val="1"/>
      <w:numFmt w:val="lowerRoman"/>
      <w:lvlText w:val="(%5)"/>
      <w:lvlJc w:val="start"/>
      <w:pPr>
        <w:tabs>
          <w:tab w:val="num" w:pos="3600"/>
        </w:tabs>
        <w:ind w:start="3600" w:hanging="720"/>
      </w:pPr>
      <w:rPr>
        <w:spacing w:val="0"/>
      </w:rPr>
    </w:lvl>
    <w:lvl w:ilvl="5">
      <w:start w:val="1"/>
      <w:numFmt w:val="lowerLetter"/>
      <w:lvlText w:val="(%6)"/>
      <w:lvlJc w:val="start"/>
      <w:pPr>
        <w:tabs>
          <w:tab w:val="num" w:pos="3960"/>
        </w:tabs>
        <w:ind w:start="3600" w:hanging="0"/>
      </w:pPr>
      <w:rPr>
        <w:spacing w:val="0"/>
      </w:rPr>
    </w:lvl>
    <w:lvl w:ilvl="6">
      <w:start w:val="1"/>
      <w:numFmt w:val="lowerRoman"/>
      <w:lvlText w:val="(%7)"/>
      <w:lvlJc w:val="start"/>
      <w:pPr>
        <w:tabs>
          <w:tab w:val="num" w:pos="4680"/>
        </w:tabs>
        <w:ind w:start="4320" w:hanging="0"/>
      </w:pPr>
      <w:rPr>
        <w:spacing w:val="0"/>
      </w:rPr>
    </w:lvl>
    <w:lvl w:ilvl="7">
      <w:start w:val="1"/>
      <w:numFmt w:val="lowerLetter"/>
      <w:lvlText w:val="(%8)"/>
      <w:lvlJc w:val="start"/>
      <w:pPr>
        <w:tabs>
          <w:tab w:val="num" w:pos="5400"/>
        </w:tabs>
        <w:ind w:start="5040" w:hanging="0"/>
      </w:pPr>
      <w:rPr>
        <w:spacing w:val="0"/>
      </w:rPr>
    </w:lvl>
    <w:lvl w:ilvl="8">
      <w:start w:val="1"/>
      <w:numFmt w:val="lowerRoman"/>
      <w:lvlText w:val="(%9)"/>
      <w:lvlJc w:val="start"/>
      <w:pPr>
        <w:tabs>
          <w:tab w:val="num" w:pos="6120"/>
        </w:tabs>
        <w:ind w:start="5760" w:hanging="0"/>
      </w:pPr>
      <w:rPr>
        <w:spacing w:val="0"/>
      </w:rPr>
    </w:lvl>
  </w:abstractNum>
  <w:abstractNum w:abstractNumId="3">
    <w:lvl w:ilvl="0">
      <w:start w:val="1"/>
      <w:numFmt w:val="decimal"/>
      <w:lvlText w:val="%1."/>
      <w:lvlJc w:val="start"/>
      <w:pPr>
        <w:tabs>
          <w:tab w:val="num" w:pos="0"/>
        </w:tabs>
        <w:ind w:start="0" w:hanging="0"/>
      </w:pPr>
      <w:rPr>
        <w:spacing w:val="0"/>
      </w:rPr>
    </w:lvl>
    <w:lvl w:ilvl="1">
      <w:start w:val="1"/>
      <w:numFmt w:val="decimal"/>
      <w:lvlText w:val="(%2)"/>
      <w:lvlJc w:val="start"/>
      <w:pPr>
        <w:tabs>
          <w:tab w:val="num" w:pos="0"/>
        </w:tabs>
        <w:ind w:start="0" w:hanging="0"/>
      </w:pPr>
      <w:rPr>
        <w:spacing w:val="0"/>
      </w:rPr>
    </w:lvl>
    <w:lvl w:ilvl="2">
      <w:start w:val="1"/>
      <w:numFmt w:val="decimal"/>
      <w:lvlText w:val="%3"/>
      <w:lvlJc w:val="start"/>
      <w:pPr>
        <w:tabs>
          <w:tab w:val="num" w:pos="0"/>
        </w:tabs>
        <w:ind w:start="0" w:hanging="0"/>
      </w:pPr>
      <w:rPr>
        <w:spacing w:val="0"/>
      </w:rPr>
    </w:lvl>
    <w:lvl w:ilvl="3">
      <w:start w:val="1"/>
      <w:numFmt w:val="decimal"/>
      <w:lvlText w:val="%4"/>
      <w:lvlJc w:val="start"/>
      <w:pPr>
        <w:tabs>
          <w:tab w:val="num" w:pos="0"/>
        </w:tabs>
        <w:ind w:start="0" w:hanging="0"/>
      </w:pPr>
      <w:rPr>
        <w:spacing w:val="0"/>
      </w:rPr>
    </w:lvl>
    <w:lvl w:ilvl="4">
      <w:start w:val="1"/>
      <w:numFmt w:val="decimal"/>
      <w:lvlText w:val="%5"/>
      <w:lvlJc w:val="start"/>
      <w:pPr>
        <w:tabs>
          <w:tab w:val="num" w:pos="0"/>
        </w:tabs>
        <w:ind w:start="0" w:hanging="0"/>
      </w:pPr>
      <w:rPr>
        <w:spacing w:val="0"/>
      </w:rPr>
    </w:lvl>
    <w:lvl w:ilvl="5">
      <w:start w:val="1"/>
      <w:numFmt w:val="decimal"/>
      <w:lvlText w:val="%6"/>
      <w:lvlJc w:val="start"/>
      <w:pPr>
        <w:tabs>
          <w:tab w:val="num" w:pos="0"/>
        </w:tabs>
        <w:ind w:start="0" w:hanging="0"/>
      </w:pPr>
      <w:rPr>
        <w:spacing w:val="0"/>
      </w:rPr>
    </w:lvl>
    <w:lvl w:ilvl="6">
      <w:start w:val="1"/>
      <w:numFmt w:val="decimal"/>
      <w:lvlText w:val="%7"/>
      <w:lvlJc w:val="start"/>
      <w:pPr>
        <w:tabs>
          <w:tab w:val="num" w:pos="0"/>
        </w:tabs>
        <w:ind w:start="0" w:hanging="0"/>
      </w:pPr>
      <w:rPr>
        <w:spacing w:val="0"/>
      </w:rPr>
    </w:lvl>
    <w:lvl w:ilvl="7">
      <w:start w:val="1"/>
      <w:numFmt w:val="decimal"/>
      <w:lvlText w:val="%8"/>
      <w:lvlJc w:val="start"/>
      <w:pPr>
        <w:tabs>
          <w:tab w:val="num" w:pos="0"/>
        </w:tabs>
        <w:ind w:start="0" w:hanging="0"/>
      </w:pPr>
      <w:rPr>
        <w:spacing w:val="0"/>
      </w:rPr>
    </w:lvl>
    <w:lvl w:ilvl="8">
      <w:start w:val="0"/>
      <w:numFmt w:val="decimal"/>
      <w:lvlText w:val=""/>
      <w:lvlJc w:val="start"/>
      <w:pPr>
        <w:tabs>
          <w:tab w:val="num" w:pos="0"/>
        </w:tabs>
        <w:ind w:start="0" w:hanging="0"/>
      </w:pPr>
      <w:rPr>
        <w:spacing w:val="0"/>
      </w:rPr>
    </w:lvl>
  </w:abstractNum>
  <w:abstractNum w:abstractNumId="4">
    <w:lvl w:ilvl="0">
      <w:start w:val="1"/>
      <w:numFmt w:val="decimal"/>
      <w:lvlText w:val="%1."/>
      <w:lvlJc w:val="start"/>
      <w:pPr>
        <w:tabs>
          <w:tab w:val="num" w:pos="0"/>
        </w:tabs>
        <w:ind w:start="0" w:hanging="0"/>
      </w:pPr>
      <w:rPr>
        <w:spacing w:val="0"/>
      </w:rPr>
    </w:lvl>
    <w:lvl w:ilvl="1">
      <w:start w:val="1"/>
      <w:numFmt w:val="decimal"/>
      <w:lvlText w:val="(%2)"/>
      <w:lvlJc w:val="start"/>
      <w:pPr>
        <w:tabs>
          <w:tab w:val="num" w:pos="0"/>
        </w:tabs>
        <w:ind w:start="0" w:hanging="0"/>
      </w:pPr>
      <w:rPr>
        <w:spacing w:val="0"/>
      </w:rPr>
    </w:lvl>
    <w:lvl w:ilvl="2">
      <w:start w:val="1"/>
      <w:numFmt w:val="decimal"/>
      <w:lvlText w:val="%3"/>
      <w:lvlJc w:val="start"/>
      <w:pPr>
        <w:tabs>
          <w:tab w:val="num" w:pos="0"/>
        </w:tabs>
        <w:ind w:start="0" w:hanging="0"/>
      </w:pPr>
      <w:rPr>
        <w:spacing w:val="0"/>
      </w:rPr>
    </w:lvl>
    <w:lvl w:ilvl="3">
      <w:start w:val="1"/>
      <w:numFmt w:val="decimal"/>
      <w:lvlText w:val="%4"/>
      <w:lvlJc w:val="start"/>
      <w:pPr>
        <w:tabs>
          <w:tab w:val="num" w:pos="0"/>
        </w:tabs>
        <w:ind w:start="0" w:hanging="0"/>
      </w:pPr>
      <w:rPr>
        <w:spacing w:val="0"/>
      </w:rPr>
    </w:lvl>
    <w:lvl w:ilvl="4">
      <w:start w:val="1"/>
      <w:numFmt w:val="decimal"/>
      <w:lvlText w:val="%5"/>
      <w:lvlJc w:val="start"/>
      <w:pPr>
        <w:tabs>
          <w:tab w:val="num" w:pos="0"/>
        </w:tabs>
        <w:ind w:start="0" w:hanging="0"/>
      </w:pPr>
      <w:rPr>
        <w:spacing w:val="0"/>
      </w:rPr>
    </w:lvl>
    <w:lvl w:ilvl="5">
      <w:start w:val="1"/>
      <w:numFmt w:val="decimal"/>
      <w:lvlText w:val="%6"/>
      <w:lvlJc w:val="start"/>
      <w:pPr>
        <w:tabs>
          <w:tab w:val="num" w:pos="0"/>
        </w:tabs>
        <w:ind w:start="0" w:hanging="0"/>
      </w:pPr>
      <w:rPr>
        <w:spacing w:val="0"/>
      </w:rPr>
    </w:lvl>
    <w:lvl w:ilvl="6">
      <w:start w:val="1"/>
      <w:numFmt w:val="decimal"/>
      <w:lvlText w:val="%7"/>
      <w:lvlJc w:val="start"/>
      <w:pPr>
        <w:tabs>
          <w:tab w:val="num" w:pos="0"/>
        </w:tabs>
        <w:ind w:start="0" w:hanging="0"/>
      </w:pPr>
      <w:rPr>
        <w:spacing w:val="0"/>
      </w:rPr>
    </w:lvl>
    <w:lvl w:ilvl="7">
      <w:start w:val="1"/>
      <w:numFmt w:val="decimal"/>
      <w:lvlText w:val="%8"/>
      <w:lvlJc w:val="start"/>
      <w:pPr>
        <w:tabs>
          <w:tab w:val="num" w:pos="0"/>
        </w:tabs>
        <w:ind w:start="0" w:hanging="0"/>
      </w:pPr>
      <w:rPr>
        <w:spacing w:val="0"/>
      </w:rPr>
    </w:lvl>
    <w:lvl w:ilvl="8">
      <w:start w:val="0"/>
      <w:numFmt w:val="decimal"/>
      <w:lvlText w:val=""/>
      <w:lvlJc w:val="start"/>
      <w:pPr>
        <w:tabs>
          <w:tab w:val="num" w:pos="0"/>
        </w:tabs>
        <w:ind w:start="0" w:hanging="0"/>
      </w:pPr>
      <w:rPr>
        <w:spacing w:val="0"/>
      </w:rPr>
    </w:lvl>
  </w:abstractNum>
  <w:abstractNum w:abstractNumId="5">
    <w:lvl w:ilvl="0">
      <w:start w:val="1"/>
      <w:numFmt w:val="upperRoman"/>
      <w:suff w:val="nothing"/>
      <w:lvlText w:val="%1."/>
      <w:lvlJc w:val="start"/>
      <w:pPr>
        <w:tabs>
          <w:tab w:val="num" w:pos="0"/>
        </w:tabs>
        <w:ind w:start="0" w:hanging="0"/>
      </w:pPr>
      <w:rPr>
        <w:sz w:val="28"/>
        <w:spacing w:val="0"/>
        <w:i w:val="false"/>
        <w:u w:val="double"/>
        <w:b/>
        <w:szCs w:val="28"/>
        <w:color w:val="0000FF"/>
      </w:rPr>
    </w:lvl>
    <w:lvl w:ilvl="1">
      <w:start w:val="1"/>
      <w:numFmt w:val="upperLetter"/>
      <w:lvlText w:val="%2."/>
      <w:lvlJc w:val="start"/>
      <w:pPr>
        <w:tabs>
          <w:tab w:val="num" w:pos="1440"/>
        </w:tabs>
        <w:ind w:start="1440" w:hanging="720"/>
      </w:pPr>
      <w:rPr>
        <w:sz w:val="24"/>
        <w:spacing w:val="0"/>
        <w:i w:val="false"/>
        <w:u w:val="double"/>
        <w:b/>
        <w:szCs w:val="24"/>
        <w:rFonts w:ascii="Times New Roman" w:hAnsi="Times New Roman" w:cs="Times New Roman"/>
        <w:color w:val="0000FF"/>
      </w:rPr>
    </w:lvl>
    <w:lvl w:ilvl="2">
      <w:start w:val="1"/>
      <w:numFmt w:val="decimal"/>
      <w:lvlText w:val="%3."/>
      <w:lvlJc w:val="start"/>
      <w:pPr>
        <w:tabs>
          <w:tab w:val="num" w:pos="2160"/>
        </w:tabs>
        <w:ind w:start="2160" w:hanging="720"/>
      </w:pPr>
      <w:rPr>
        <w:spacing w:val="0"/>
        <w:i/>
        <w:u w:val="double"/>
        <w:b/>
        <w:color w:val="0000FF"/>
      </w:rPr>
    </w:lvl>
    <w:lvl w:ilvl="3">
      <w:start w:val="1"/>
      <w:numFmt w:val="lowerLetter"/>
      <w:lvlText w:val="(%4)"/>
      <w:lvlJc w:val="start"/>
      <w:pPr>
        <w:tabs>
          <w:tab w:val="num" w:pos="2520"/>
        </w:tabs>
        <w:ind w:start="0" w:firstLine="2160"/>
      </w:pPr>
      <w:rPr>
        <w:spacing w:val="0"/>
        <w:u w:val="double"/>
        <w:b/>
        <w:color w:val="0000FF"/>
      </w:rPr>
    </w:lvl>
    <w:lvl w:ilvl="4">
      <w:start w:val="1"/>
      <w:numFmt w:val="lowerRoman"/>
      <w:lvlText w:val="(%5)"/>
      <w:lvlJc w:val="start"/>
      <w:pPr>
        <w:tabs>
          <w:tab w:val="num" w:pos="3600"/>
        </w:tabs>
        <w:ind w:start="3600" w:hanging="720"/>
      </w:pPr>
      <w:rPr>
        <w:spacing w:val="0"/>
        <w:u w:val="double"/>
        <w:b/>
        <w:color w:val="0000FF"/>
      </w:rPr>
    </w:lvl>
    <w:lvl w:ilvl="5">
      <w:start w:val="1"/>
      <w:numFmt w:val="lowerLetter"/>
      <w:lvlText w:val="(%6)"/>
      <w:lvlJc w:val="start"/>
      <w:pPr>
        <w:tabs>
          <w:tab w:val="num" w:pos="3960"/>
        </w:tabs>
        <w:ind w:start="3600" w:hanging="0"/>
      </w:pPr>
      <w:rPr>
        <w:spacing w:val="0"/>
        <w:u w:val="double"/>
        <w:b/>
        <w:color w:val="0000FF"/>
      </w:rPr>
    </w:lvl>
    <w:lvl w:ilvl="6">
      <w:start w:val="1"/>
      <w:numFmt w:val="lowerRoman"/>
      <w:lvlText w:val="(%7)"/>
      <w:lvlJc w:val="start"/>
      <w:pPr>
        <w:tabs>
          <w:tab w:val="num" w:pos="4680"/>
        </w:tabs>
        <w:ind w:start="4320" w:hanging="0"/>
      </w:pPr>
      <w:rPr>
        <w:spacing w:val="0"/>
        <w:u w:val="double"/>
        <w:b/>
        <w:color w:val="0000FF"/>
      </w:rPr>
    </w:lvl>
    <w:lvl w:ilvl="7">
      <w:start w:val="1"/>
      <w:numFmt w:val="lowerLetter"/>
      <w:lvlText w:val="(%8)"/>
      <w:lvlJc w:val="start"/>
      <w:pPr>
        <w:tabs>
          <w:tab w:val="num" w:pos="5400"/>
        </w:tabs>
        <w:ind w:start="5040" w:hanging="0"/>
      </w:pPr>
      <w:rPr>
        <w:spacing w:val="0"/>
        <w:u w:val="double"/>
        <w:b/>
        <w:color w:val="0000FF"/>
      </w:rPr>
    </w:lvl>
    <w:lvl w:ilvl="8">
      <w:start w:val="1"/>
      <w:numFmt w:val="lowerRoman"/>
      <w:lvlText w:val="(%9)"/>
      <w:lvlJc w:val="start"/>
      <w:pPr>
        <w:tabs>
          <w:tab w:val="num" w:pos="6120"/>
        </w:tabs>
        <w:ind w:start="5760" w:hanging="0"/>
      </w:pPr>
      <w:rPr>
        <w:spacing w:val="0"/>
        <w:u w:val="double"/>
        <w:b/>
        <w:color w:val="0000FF"/>
      </w:r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docVars>
    <w:docVar w:name="DATASET" w:val="LEGAL"/>
    <w:docVar w:name="DOCNUM" w:val="284721"/>
    <w:docVar w:name="LevelSaved" w:val=" 3"/>
    <w:docVar w:name="lstLevel1" w:val=" 0"/>
    <w:docVar w:name="lstLevel2" w:val=" 1"/>
    <w:docVar w:name="lstLevel3" w:val=" 4"/>
    <w:docVar w:name="lstLevel4" w:val=" 5"/>
    <w:docVar w:name="lstLevel5" w:val=" 0"/>
    <w:docVar w:name="lstLevel6" w:val=" 0"/>
    <w:docVar w:name="lstLevel7" w:val=" 0"/>
    <w:docVar w:name="lstLevel8" w:val=" 0"/>
    <w:docVar w:name="lstLevel9" w:val=" 0"/>
    <w:docVar w:name="ShowPrintedCheckBox" w:val="TRUE"/>
    <w:docVar w:name="ShowScreenCheckBox" w:val="TRUE"/>
    <w:docVar w:name="trailer" w:val="Final"/>
    <w:docVar w:name="txtL2After" w:val="."/>
    <w:docVar w:name="txtL3After" w:val=")"/>
    <w:docVar w:name="txtL3Before" w:val="("/>
    <w:docVar w:name="txtL4After" w:val=")"/>
    <w:docVar w:name="txtL4Before" w:val="("/>
    <w:docVar w:name="VERSION" w:val="0"/>
    <w:docVar w:name="VERSION2" w:v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2"/>
      </w:numPr>
      <w:tabs>
        <w:tab w:val="clear" w:pos="720"/>
      </w:tabs>
      <w:spacing w:before="240" w:after="240"/>
      <w:jc w:val="center"/>
      <w:outlineLvl w:val="0"/>
    </w:pPr>
    <w:rPr>
      <w:kern w:val="2"/>
    </w:rPr>
  </w:style>
  <w:style w:type="paragraph" w:styleId="Heading2">
    <w:name w:val="heading 2"/>
    <w:basedOn w:val="Normal"/>
    <w:next w:val="BodyText"/>
    <w:qFormat/>
    <w:pPr>
      <w:numPr>
        <w:ilvl w:val="0"/>
        <w:numId w:val="2"/>
      </w:numPr>
      <w:tabs>
        <w:tab w:val="left" w:pos="720" w:leader="none"/>
        <w:tab w:val="left" w:pos="1440" w:leader="none"/>
      </w:tabs>
      <w:spacing w:before="0" w:after="240"/>
      <w:ind w:hanging="720" w:start="1440" w:end="0"/>
      <w:jc w:val="both"/>
      <w:outlineLvl w:val="1"/>
    </w:pPr>
    <w:rPr/>
  </w:style>
  <w:style w:type="paragraph" w:styleId="Heading3">
    <w:name w:val="heading 3"/>
    <w:basedOn w:val="Normal"/>
    <w:next w:val="BodyText"/>
    <w:qFormat/>
    <w:pPr>
      <w:numPr>
        <w:ilvl w:val="0"/>
        <w:numId w:val="2"/>
      </w:numPr>
      <w:tabs>
        <w:tab w:val="clear" w:pos="720"/>
        <w:tab w:val="left" w:pos="1440" w:leader="none"/>
        <w:tab w:val="left" w:pos="2160" w:leader="none"/>
      </w:tabs>
      <w:spacing w:before="0" w:after="240"/>
      <w:ind w:hanging="720" w:start="2160" w:end="0"/>
      <w:jc w:val="both"/>
      <w:outlineLvl w:val="2"/>
    </w:pPr>
    <w:rPr/>
  </w:style>
  <w:style w:type="paragraph" w:styleId="Heading4">
    <w:name w:val="heading 4"/>
    <w:basedOn w:val="Normal"/>
    <w:next w:val="Normal"/>
    <w:qFormat/>
    <w:pPr>
      <w:numPr>
        <w:ilvl w:val="0"/>
        <w:numId w:val="2"/>
      </w:numPr>
      <w:tabs>
        <w:tab w:val="clear" w:pos="720"/>
        <w:tab w:val="left" w:pos="2520" w:leader="none"/>
      </w:tabs>
      <w:spacing w:before="0" w:after="240"/>
      <w:ind w:firstLine="2160" w:start="0" w:end="0"/>
      <w:jc w:val="both"/>
      <w:outlineLvl w:val="3"/>
    </w:pPr>
    <w:rPr/>
  </w:style>
  <w:style w:type="paragraph" w:styleId="Heading5">
    <w:name w:val="heading 5"/>
    <w:basedOn w:val="Normal"/>
    <w:next w:val="BodyText"/>
    <w:qFormat/>
    <w:pPr>
      <w:numPr>
        <w:ilvl w:val="0"/>
        <w:numId w:val="2"/>
      </w:numPr>
      <w:tabs>
        <w:tab w:val="clear" w:pos="720"/>
        <w:tab w:val="left" w:pos="3600" w:leader="none"/>
      </w:tabs>
      <w:spacing w:before="0" w:after="240"/>
      <w:ind w:hanging="720" w:start="3600" w:end="1440"/>
      <w:outlineLvl w:val="4"/>
    </w:pPr>
    <w:rPr/>
  </w:style>
  <w:style w:type="paragraph" w:styleId="Heading6">
    <w:name w:val="heading 6"/>
    <w:basedOn w:val="Normal"/>
    <w:next w:val="Normal"/>
    <w:qFormat/>
    <w:pPr>
      <w:numPr>
        <w:ilvl w:val="0"/>
        <w:numId w:val="2"/>
      </w:numPr>
      <w:tabs>
        <w:tab w:val="clear" w:pos="720"/>
        <w:tab w:val="left" w:pos="3960" w:leader="none"/>
      </w:tabs>
      <w:spacing w:before="0" w:after="240"/>
      <w:ind w:hanging="0" w:start="3600" w:end="0"/>
      <w:outlineLvl w:val="5"/>
    </w:pPr>
    <w:rPr/>
  </w:style>
  <w:style w:type="paragraph" w:styleId="Heading7">
    <w:name w:val="heading 7"/>
    <w:basedOn w:val="Normal"/>
    <w:next w:val="Normal"/>
    <w:qFormat/>
    <w:pPr>
      <w:numPr>
        <w:ilvl w:val="0"/>
        <w:numId w:val="2"/>
      </w:numPr>
      <w:tabs>
        <w:tab w:val="clear" w:pos="720"/>
        <w:tab w:val="left" w:pos="4680" w:leader="none"/>
      </w:tabs>
      <w:spacing w:before="240" w:after="60"/>
      <w:ind w:hanging="0" w:start="4320" w:end="0"/>
      <w:outlineLvl w:val="6"/>
    </w:pPr>
    <w:rPr>
      <w:rFonts w:ascii="Arial" w:hAnsi="Arial" w:cs="Arial"/>
    </w:rPr>
  </w:style>
  <w:style w:type="paragraph" w:styleId="Heading8">
    <w:name w:val="heading 8"/>
    <w:basedOn w:val="Normal"/>
    <w:next w:val="Normal"/>
    <w:qFormat/>
    <w:pPr>
      <w:numPr>
        <w:ilvl w:val="0"/>
        <w:numId w:val="2"/>
      </w:numPr>
      <w:tabs>
        <w:tab w:val="clear" w:pos="720"/>
        <w:tab w:val="left" w:pos="5400" w:leader="none"/>
      </w:tabs>
      <w:spacing w:before="240" w:after="60"/>
      <w:ind w:hanging="0" w:start="5040" w:end="0"/>
      <w:outlineLvl w:val="7"/>
    </w:pPr>
    <w:rPr>
      <w:rFonts w:ascii="Arial" w:hAnsi="Arial" w:cs="Arial"/>
      <w:i/>
      <w:iCs/>
    </w:rPr>
  </w:style>
  <w:style w:type="paragraph" w:styleId="Heading9">
    <w:name w:val="heading 9"/>
    <w:basedOn w:val="Normal"/>
    <w:next w:val="Normal"/>
    <w:qFormat/>
    <w:pPr>
      <w:numPr>
        <w:ilvl w:val="0"/>
        <w:numId w:val="2"/>
      </w:numPr>
      <w:tabs>
        <w:tab w:val="clear" w:pos="720"/>
        <w:tab w:val="left" w:pos="6120" w:leader="none"/>
      </w:tabs>
      <w:spacing w:before="240" w:after="60"/>
      <w:ind w:hanging="0" w:start="5760" w:end="0"/>
      <w:outlineLvl w:val="8"/>
    </w:pPr>
    <w:rPr>
      <w:rFonts w:ascii="Arial" w:hAnsi="Arial" w:cs="Arial"/>
      <w:b/>
      <w:bCs/>
      <w:i/>
      <w:iCs/>
      <w:sz w:val="18"/>
      <w:szCs w:val="18"/>
    </w:rPr>
  </w:style>
  <w:style w:type="character" w:styleId="WW8Num1z0">
    <w:name w:val="WW8Num1z0"/>
    <w:qFormat/>
    <w:rPr>
      <w:spacing w:val="0"/>
    </w:rPr>
  </w:style>
  <w:style w:type="character" w:styleId="WW8Num2z0">
    <w:name w:val="WW8Num2z0"/>
    <w:qFormat/>
    <w:rPr>
      <w:rFonts w:ascii="Times New Roman" w:hAnsi="Times New Roman" w:cs="Times New Roman"/>
      <w:spacing w:val="0"/>
      <w:sz w:val="24"/>
      <w:szCs w:val="24"/>
    </w:rPr>
  </w:style>
  <w:style w:type="character" w:styleId="WW8Num2z1">
    <w:name w:val="WW8Num2z1"/>
    <w:qFormat/>
    <w:rPr>
      <w:spacing w:val="0"/>
    </w:rPr>
  </w:style>
  <w:style w:type="character" w:styleId="WW8Num3z0">
    <w:name w:val="WW8Num3z0"/>
    <w:qFormat/>
    <w:rPr>
      <w:b/>
      <w:i w:val="false"/>
      <w:spacing w:val="0"/>
      <w:sz w:val="28"/>
      <w:szCs w:val="28"/>
    </w:rPr>
  </w:style>
  <w:style w:type="character" w:styleId="WW8Num3z1">
    <w:name w:val="WW8Num3z1"/>
    <w:qFormat/>
    <w:rPr>
      <w:rFonts w:ascii="Times New Roman" w:hAnsi="Times New Roman" w:cs="Times New Roman"/>
      <w:b w:val="false"/>
      <w:i w:val="false"/>
      <w:spacing w:val="0"/>
      <w:sz w:val="24"/>
      <w:szCs w:val="24"/>
    </w:rPr>
  </w:style>
  <w:style w:type="character" w:styleId="WW8Num3z2">
    <w:name w:val="WW8Num3z2"/>
    <w:qFormat/>
    <w:rPr>
      <w:b/>
      <w:i/>
      <w:spacing w:val="0"/>
    </w:rPr>
  </w:style>
  <w:style w:type="character" w:styleId="WW8Num3z3">
    <w:name w:val="WW8Num3z3"/>
    <w:qFormat/>
    <w:rPr>
      <w:spacing w:val="0"/>
    </w:rPr>
  </w:style>
  <w:style w:type="character" w:styleId="WW8Num4z0">
    <w:name w:val="WW8Num4z0"/>
    <w:qFormat/>
    <w:rPr>
      <w:spacing w:val="0"/>
    </w:rPr>
  </w:style>
  <w:style w:type="character" w:styleId="WW8Num5z0">
    <w:name w:val="WW8Num5z0"/>
    <w:qFormat/>
    <w:rPr>
      <w:spacing w:val="0"/>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St3z0">
    <w:name w:val="WW8NumSt3z0"/>
    <w:qFormat/>
    <w:rPr>
      <w:spacing w:val="0"/>
    </w:rPr>
  </w:style>
  <w:style w:type="character" w:styleId="WW8NumSt4z0">
    <w:name w:val="WW8NumSt4z0"/>
    <w:qFormat/>
    <w:rPr>
      <w:spacing w:val="0"/>
    </w:rPr>
  </w:style>
  <w:style w:type="character" w:styleId="WW8NumSt5z0">
    <w:name w:val="WW8NumSt5z0"/>
    <w:qFormat/>
    <w:rPr>
      <w:spacing w:val="0"/>
    </w:rPr>
  </w:style>
  <w:style w:type="character" w:styleId="WW8NumSt6z0">
    <w:name w:val="WW8NumSt6z0"/>
    <w:qFormat/>
    <w:rPr>
      <w:spacing w:val="0"/>
    </w:rPr>
  </w:style>
  <w:style w:type="character" w:styleId="WW8NumSt7z0">
    <w:name w:val="WW8NumSt7z0"/>
    <w:qFormat/>
    <w:rPr>
      <w:spacing w:val="0"/>
    </w:rPr>
  </w:style>
  <w:style w:type="character" w:styleId="WW8NumSt8z0">
    <w:name w:val="WW8NumSt8z0"/>
    <w:qFormat/>
    <w:rPr>
      <w:spacing w:val="0"/>
    </w:rPr>
  </w:style>
  <w:style w:type="character" w:styleId="WW8NumSt9z0">
    <w:name w:val="WW8NumSt9z0"/>
    <w:qFormat/>
    <w:rPr>
      <w:spacing w:val="0"/>
    </w:rPr>
  </w:style>
  <w:style w:type="character" w:styleId="WW8NumSt10z0">
    <w:name w:val="WW8NumSt10z0"/>
    <w:qFormat/>
    <w:rPr>
      <w:spacing w:val="0"/>
    </w:rPr>
  </w:style>
  <w:style w:type="character" w:styleId="WW8NumSt11z0">
    <w:name w:val="WW8NumSt11z0"/>
    <w:qFormat/>
    <w:rPr>
      <w:spacing w:val="0"/>
    </w:rPr>
  </w:style>
  <w:style w:type="character" w:styleId="WW8NumSt12z0">
    <w:name w:val="WW8NumSt12z0"/>
    <w:qFormat/>
    <w:rPr>
      <w:spacing w:val="0"/>
    </w:rPr>
  </w:style>
  <w:style w:type="character" w:styleId="WW8NumSt13z0">
    <w:name w:val="WW8NumSt13z0"/>
    <w:qFormat/>
    <w:rPr>
      <w:spacing w:val="0"/>
    </w:rPr>
  </w:style>
  <w:style w:type="character" w:styleId="WW8NumSt15z0">
    <w:name w:val="WW8NumSt15z0"/>
    <w:qFormat/>
    <w:rPr>
      <w:spacing w:val="0"/>
    </w:rPr>
  </w:style>
  <w:style w:type="character" w:styleId="WW8NumSt16z0">
    <w:name w:val="WW8NumSt16z0"/>
    <w:qFormat/>
    <w:rPr>
      <w:spacing w:val="0"/>
    </w:rPr>
  </w:style>
  <w:style w:type="character" w:styleId="WW8NumSt28z0">
    <w:name w:val="WW8NumSt28z0"/>
    <w:qFormat/>
    <w:rPr>
      <w:spacing w:val="0"/>
    </w:rPr>
  </w:style>
  <w:style w:type="character" w:styleId="WW8NumSt29z0">
    <w:name w:val="WW8NumSt29z0"/>
    <w:qFormat/>
    <w:rPr>
      <w:spacing w:val="0"/>
    </w:rPr>
  </w:style>
  <w:style w:type="character" w:styleId="WW8NumSt67z0">
    <w:name w:val="WW8NumSt67z0"/>
    <w:qFormat/>
    <w:rPr>
      <w:b/>
      <w:i w:val="false"/>
      <w:color w:val="0000FF"/>
      <w:spacing w:val="0"/>
      <w:sz w:val="28"/>
      <w:szCs w:val="28"/>
      <w:u w:val="double"/>
    </w:rPr>
  </w:style>
  <w:style w:type="character" w:styleId="WW8NumSt67z1">
    <w:name w:val="WW8NumSt67z1"/>
    <w:qFormat/>
    <w:rPr>
      <w:rFonts w:ascii="Times New Roman" w:hAnsi="Times New Roman" w:cs="Times New Roman"/>
      <w:b/>
      <w:i w:val="false"/>
      <w:color w:val="0000FF"/>
      <w:spacing w:val="0"/>
      <w:sz w:val="24"/>
      <w:szCs w:val="24"/>
      <w:u w:val="double"/>
    </w:rPr>
  </w:style>
  <w:style w:type="character" w:styleId="WW8NumSt67z2">
    <w:name w:val="WW8NumSt67z2"/>
    <w:qFormat/>
    <w:rPr>
      <w:b/>
      <w:i/>
      <w:color w:val="0000FF"/>
      <w:spacing w:val="0"/>
      <w:u w:val="double"/>
    </w:rPr>
  </w:style>
  <w:style w:type="character" w:styleId="WW8NumSt67z3">
    <w:name w:val="WW8NumSt67z3"/>
    <w:qFormat/>
    <w:rPr>
      <w:b/>
      <w:color w:val="0000FF"/>
      <w:spacing w:val="0"/>
      <w:u w:val="doub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tyle>
  <w:style w:type="character" w:styleId="Hyperlink">
    <w:name w:val="Hyperlink"/>
    <w:basedOn w:val="DefaultParagraphFont"/>
    <w:rPr>
      <w:color w:val="0000FF"/>
      <w:spacing w:val="0"/>
      <w:u w:val="single"/>
    </w:rPr>
  </w:style>
  <w:style w:type="character" w:styleId="CommentReference">
    <w:name w:val="Comment Reference"/>
    <w:basedOn w:val="DefaultParagraphFont"/>
    <w:qFormat/>
    <w:rPr>
      <w:spacing w:val="0"/>
      <w:sz w:val="16"/>
      <w:szCs w:val="16"/>
    </w:rPr>
  </w:style>
  <w:style w:type="character" w:styleId="FollowedHyperlink">
    <w:name w:val="FollowedHyperlink"/>
    <w:basedOn w:val="DefaultParagraphFont"/>
    <w:rPr>
      <w:color w:val="800080"/>
      <w:spacing w:val="0"/>
      <w:u w:val="single"/>
    </w:rPr>
  </w:style>
  <w:style w:type="character" w:styleId="EquationCaption">
    <w:name w:val="_Equation Caption"/>
    <w:qFormat/>
    <w:rPr/>
  </w:style>
  <w:style w:type="character" w:styleId="VEDocumentInformation">
    <w:name w:val="VE Document Information"/>
    <w:basedOn w:val="DefaultParagraphFont"/>
    <w:qFormat/>
    <w:rPr>
      <w:sz w:val="16"/>
    </w:rPr>
  </w:style>
  <w:style w:type="character" w:styleId="DeltaViewInsertion">
    <w:name w:val="DeltaView Insertion"/>
    <w:qFormat/>
    <w:rPr>
      <w:b/>
      <w:bCs/>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7F7F7F"/>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paragraph" w:styleId="Heading">
    <w:name w:val="Heading"/>
    <w:basedOn w:val="Normal"/>
    <w:next w:val="BodyText"/>
    <w:qFormat/>
    <w:pPr>
      <w:spacing w:before="0" w:after="480"/>
      <w:jc w:val="center"/>
      <w:outlineLvl w:val="0"/>
    </w:pPr>
    <w:rPr>
      <w:b/>
      <w:bCs/>
      <w:kern w:val="2"/>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tabs>
        <w:tab w:val="clear" w:pos="720"/>
        <w:tab w:val="left" w:pos="-720" w:leader="none"/>
      </w:tabs>
      <w:suppressAutoHyphens w:val="true"/>
      <w:spacing w:before="240" w:after="0"/>
      <w:ind w:hanging="720" w:start="720" w:end="0"/>
    </w:pPr>
    <w:rPr>
      <w:sz w:val="22"/>
      <w:szCs w:val="22"/>
    </w:rPr>
  </w:style>
  <w:style w:type="paragraph" w:styleId="Paraiii">
    <w:name w:val="Para (iii)"/>
    <w:basedOn w:val="Normal"/>
    <w:qFormat/>
    <w:pPr>
      <w:spacing w:before="240" w:after="0"/>
      <w:ind w:firstLine="720" w:start="2160" w:end="0"/>
    </w:pPr>
    <w:rPr/>
  </w:style>
  <w:style w:type="paragraph" w:styleId="BodyTextIndent2">
    <w:name w:val="Body Text Indent 2"/>
    <w:basedOn w:val="Normal"/>
    <w:qFormat/>
    <w:pPr>
      <w:ind w:firstLine="720" w:start="720" w:end="0"/>
    </w:pPr>
    <w:rPr/>
  </w:style>
  <w:style w:type="paragraph" w:styleId="BodyTextIndent3">
    <w:name w:val="Body Text Indent 3"/>
    <w:basedOn w:val="Normal"/>
    <w:qFormat/>
    <w:pPr>
      <w:ind w:firstLine="720" w:start="144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Headera">
    <w:name w:val="Header (a)"/>
    <w:basedOn w:val="Normal"/>
    <w:qFormat/>
    <w:pPr>
      <w:tabs>
        <w:tab w:val="clear" w:pos="720"/>
        <w:tab w:val="left" w:pos="2160" w:leader="none"/>
      </w:tabs>
      <w:spacing w:before="0" w:after="240"/>
      <w:ind w:firstLine="1440" w:start="0" w:end="0"/>
      <w:jc w:val="both"/>
    </w:pPr>
    <w:rPr/>
  </w:style>
  <w:style w:type="paragraph" w:styleId="Style11">
    <w:name w:val="Style1"/>
    <w:basedOn w:val="Headera"/>
    <w:qFormat/>
    <w:pPr>
      <w:tabs>
        <w:tab w:val="left" w:pos="720" w:leader="none"/>
        <w:tab w:val="left" w:pos="2160" w:leader="none"/>
      </w:tabs>
      <w:ind w:hanging="360" w:start="720" w:end="0"/>
    </w:pPr>
    <w:rPr/>
  </w:style>
  <w:style w:type="paragraph" w:styleId="Style21">
    <w:name w:val="Style2"/>
    <w:basedOn w:val="Normal"/>
    <w:qFormat/>
    <w:pPr>
      <w:spacing w:before="120" w:after="240"/>
      <w:ind w:firstLine="720" w:start="0" w:end="0"/>
      <w:jc w:val="both"/>
    </w:pPr>
    <w:rPr/>
  </w:style>
  <w:style w:type="paragraph" w:styleId="afterquote">
    <w:name w:val="after quote"/>
    <w:basedOn w:val="Normal"/>
    <w:qFormat/>
    <w:pPr>
      <w:spacing w:before="0" w:after="240"/>
    </w:pPr>
    <w:rPr/>
  </w:style>
  <w:style w:type="paragraph" w:styleId="BlockText">
    <w:name w:val="Block Text"/>
    <w:basedOn w:val="Normal"/>
    <w:next w:val="afterquote"/>
    <w:qFormat/>
    <w:pPr>
      <w:spacing w:before="0" w:after="240"/>
      <w:ind w:hanging="0" w:start="1440" w:end="1440"/>
      <w:jc w:val="both"/>
    </w:pPr>
    <w:rPr/>
  </w:style>
  <w:style w:type="paragraph" w:styleId="centered">
    <w:name w:val="centered"/>
    <w:basedOn w:val="BodyText"/>
    <w:qFormat/>
    <w:pPr>
      <w:spacing w:before="0" w:after="480"/>
      <w:ind w:hanging="0" w:start="0" w:end="0"/>
      <w:jc w:val="center"/>
    </w:pPr>
    <w:rPr/>
  </w:style>
  <w:style w:type="paragraph" w:styleId="Level1">
    <w:name w:val="Level 1"/>
    <w:basedOn w:val="Normal"/>
    <w:qFormat/>
    <w:pPr>
      <w:numPr>
        <w:ilvl w:val="0"/>
        <w:numId w:val="3"/>
      </w:numPr>
      <w:tabs>
        <w:tab w:val="clear" w:pos="720"/>
      </w:tabs>
      <w:ind w:firstLine="1440" w:start="0" w:end="0"/>
      <w:outlineLvl w:val="0"/>
    </w:pPr>
    <w:rPr/>
  </w:style>
  <w:style w:type="paragraph" w:styleId="Level2">
    <w:name w:val="Level 2"/>
    <w:basedOn w:val="Normal"/>
    <w:qFormat/>
    <w:pPr>
      <w:numPr>
        <w:ilvl w:val="0"/>
        <w:numId w:val="4"/>
      </w:numPr>
      <w:tabs>
        <w:tab w:val="clear" w:pos="720"/>
      </w:tabs>
      <w:ind w:firstLine="1440" w:start="0" w:end="0"/>
      <w:outlineLvl w:val="1"/>
    </w:pPr>
    <w:rPr/>
  </w:style>
  <w:style w:type="paragraph" w:styleId="numbered">
    <w:name w:val="numbered"/>
    <w:basedOn w:val="BodyText"/>
    <w:qFormat/>
    <w:pPr>
      <w:numPr>
        <w:ilvl w:val="0"/>
        <w:numId w:val="6"/>
      </w:numPr>
      <w:tabs>
        <w:tab w:val="clear" w:pos="720"/>
        <w:tab w:val="left" w:pos="1440" w:leader="none"/>
      </w:tabs>
    </w:pPr>
    <w:rPr/>
  </w:style>
  <w:style w:type="paragraph" w:styleId="quotes">
    <w:name w:val="quotes"/>
    <w:basedOn w:val="Normal"/>
    <w:next w:val="afterquote"/>
    <w:qFormat/>
    <w:pPr>
      <w:spacing w:before="0" w:after="240"/>
      <w:ind w:hanging="0" w:start="1440" w:end="1440"/>
      <w:jc w:val="both"/>
    </w:pPr>
    <w:rPr/>
  </w:style>
  <w:style w:type="paragraph" w:styleId="Salutation">
    <w:name w:val="Salutation"/>
    <w:basedOn w:val="Normal"/>
    <w:next w:val="BodyText"/>
    <w:qFormat/>
    <w:pPr>
      <w:spacing w:before="0" w:after="240"/>
    </w:pPr>
    <w:rPr/>
  </w:style>
  <w:style w:type="paragraph" w:styleId="Signature">
    <w:name w:val="Signature"/>
    <w:basedOn w:val="Normal"/>
    <w:pPr>
      <w:tabs>
        <w:tab w:val="clear" w:pos="720"/>
        <w:tab w:val="left" w:pos="9180" w:leader="none"/>
      </w:tabs>
      <w:spacing w:before="480" w:after="0"/>
      <w:ind w:hanging="540" w:start="4860" w:end="0"/>
    </w:pPr>
    <w:rPr/>
  </w:style>
  <w:style w:type="paragraph" w:styleId="TOC1">
    <w:name w:val="toc 1"/>
    <w:basedOn w:val="Normal"/>
    <w:next w:val="Normal"/>
    <w:pPr>
      <w:tabs>
        <w:tab w:val="clear" w:pos="720"/>
        <w:tab w:val="right" w:pos="9360" w:leader="dot"/>
      </w:tabs>
      <w:spacing w:before="240" w:after="240"/>
      <w:ind w:hanging="1627" w:start="1627" w:end="720"/>
    </w:pPr>
    <w:rPr>
      <w:caps/>
    </w:rPr>
  </w:style>
  <w:style w:type="paragraph" w:styleId="TOC2">
    <w:name w:val="toc 2"/>
    <w:basedOn w:val="Normal"/>
    <w:next w:val="Normal"/>
    <w:pPr>
      <w:tabs>
        <w:tab w:val="clear" w:pos="720"/>
        <w:tab w:val="right" w:pos="9360" w:leader="dot"/>
      </w:tabs>
      <w:ind w:hanging="900" w:start="1620" w:end="720"/>
    </w:pPr>
    <w:rPr/>
  </w:style>
  <w:style w:type="paragraph" w:styleId="TOC3">
    <w:name w:val="toc 3"/>
    <w:basedOn w:val="Normal"/>
    <w:next w:val="Normal"/>
    <w:pPr>
      <w:tabs>
        <w:tab w:val="clear" w:pos="720"/>
        <w:tab w:val="right" w:pos="9360" w:leader="none"/>
      </w:tabs>
      <w:spacing w:before="0" w:after="240"/>
      <w:ind w:hanging="0" w:start="480" w:end="0"/>
    </w:pPr>
    <w:rPr/>
  </w:style>
  <w:style w:type="paragraph" w:styleId="TOC4">
    <w:name w:val="toc 4"/>
    <w:basedOn w:val="Heading4"/>
    <w:next w:val="Normal"/>
    <w:pPr>
      <w:numPr>
        <w:ilvl w:val="0"/>
        <w:numId w:val="7"/>
      </w:numPr>
      <w:tabs>
        <w:tab w:val="left" w:pos="1440" w:leader="none"/>
        <w:tab w:val="left" w:pos="2520" w:leader="none"/>
        <w:tab w:val="right" w:pos="9360" w:leader="dot"/>
      </w:tabs>
      <w:ind w:hanging="720" w:start="2880" w:end="0"/>
      <w:outlineLvl w:val="9"/>
    </w:pPr>
    <w:rPr>
      <w:b/>
      <w:bCs/>
    </w:rPr>
  </w:style>
  <w:style w:type="paragraph" w:styleId="TOC5">
    <w:name w:val="toc 5"/>
    <w:basedOn w:val="Heading5"/>
    <w:next w:val="Normal"/>
    <w:pPr>
      <w:numPr>
        <w:ilvl w:val="0"/>
        <w:numId w:val="8"/>
      </w:numPr>
      <w:tabs>
        <w:tab w:val="left" w:pos="1440" w:leader="none"/>
        <w:tab w:val="left" w:pos="3600" w:leader="none"/>
        <w:tab w:val="right" w:pos="9360" w:leader="dot"/>
      </w:tabs>
      <w:ind w:hanging="0" w:start="960" w:end="1440"/>
      <w:outlineLvl w:val="9"/>
    </w:pPr>
    <w:rPr/>
  </w:style>
  <w:style w:type="paragraph" w:styleId="TOC6">
    <w:name w:val="toc 6"/>
    <w:basedOn w:val="Heading6"/>
    <w:next w:val="Normal"/>
    <w:pPr>
      <w:numPr>
        <w:ilvl w:val="0"/>
        <w:numId w:val="9"/>
      </w:numPr>
      <w:tabs>
        <w:tab w:val="left" w:pos="1440" w:leader="none"/>
        <w:tab w:val="left" w:pos="3960" w:leader="none"/>
        <w:tab w:val="right" w:pos="9360" w:leader="dot"/>
      </w:tabs>
      <w:ind w:hanging="0" w:start="1200" w:end="0"/>
      <w:outlineLvl w:val="9"/>
    </w:pPr>
    <w:rPr>
      <w:i/>
      <w:iCs/>
    </w:rPr>
  </w:style>
  <w:style w:type="paragraph" w:styleId="TOC7">
    <w:name w:val="toc 7"/>
    <w:basedOn w:val="Normal"/>
    <w:next w:val="Normal"/>
    <w:pPr>
      <w:tabs>
        <w:tab w:val="clear" w:pos="720"/>
        <w:tab w:val="right" w:pos="9360" w:leader="dot"/>
      </w:tabs>
      <w:spacing w:before="0" w:after="240"/>
      <w:ind w:hanging="0" w:start="1440" w:end="0"/>
    </w:pPr>
    <w:rPr/>
  </w:style>
  <w:style w:type="paragraph" w:styleId="TOC8">
    <w:name w:val="toc 8"/>
    <w:basedOn w:val="Normal"/>
    <w:next w:val="Normal"/>
    <w:pPr>
      <w:tabs>
        <w:tab w:val="clear" w:pos="720"/>
        <w:tab w:val="right" w:pos="9360" w:leader="dot"/>
      </w:tabs>
      <w:spacing w:before="0" w:after="240"/>
      <w:ind w:hanging="0" w:start="1680" w:end="0"/>
    </w:pPr>
    <w:rPr/>
  </w:style>
  <w:style w:type="paragraph" w:styleId="TOC9">
    <w:name w:val="toc 9"/>
    <w:basedOn w:val="Normal"/>
    <w:next w:val="Normal"/>
    <w:pPr>
      <w:tabs>
        <w:tab w:val="clear" w:pos="720"/>
        <w:tab w:val="right" w:pos="9360" w:leader="dot"/>
      </w:tabs>
      <w:spacing w:before="0" w:after="240"/>
      <w:ind w:hanging="0" w:start="1920" w:end="0"/>
    </w:pPr>
    <w:rPr/>
  </w:style>
  <w:style w:type="paragraph" w:styleId="VEBodyText">
    <w:name w:val="VE Body Text"/>
    <w:basedOn w:val="Normal"/>
    <w:qFormat/>
    <w:pPr>
      <w:spacing w:before="0" w:after="240"/>
      <w:jc w:val="both"/>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2001-02-22T22:47:00Z</dcterms:created>
  <dc:creator>JR</dc:creator>
  <dc:description/>
  <dc:language>en-CA</dc:language>
  <cp:lastModifiedBy>Vinson &amp; Elkins L.L.P.</cp:lastModifiedBy>
  <cp:lastPrinted>2001-02-22T19:17:00Z</cp:lastPrinted>
  <dcterms:modified xsi:type="dcterms:W3CDTF">2001-02-22T22:47:00Z</dcterms:modified>
  <cp:revision>2</cp:revision>
  <dc:subject>Stockholders' Agreement (based on StarMedia version)</dc:subject>
  <dc:title>Stockholders'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