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on HPL Transportation Agreement</w:t>
      </w:r>
    </w:p>
    <w:p>
      <w:pPr>
        <w:pStyle w:val="Normal"/>
        <w:rPr/>
      </w:pPr>
      <w:r>
        <w:rPr/>
      </w:r>
    </w:p>
    <w:p>
      <w:pPr>
        <w:pStyle w:val="Normal"/>
        <w:rPr/>
      </w:pPr>
      <w:r>
        <w:rPr>
          <w:b/>
          <w:bCs/>
          <w:u w:val="single"/>
        </w:rPr>
        <w:t>Article</w:t>
        <w:tab/>
      </w:r>
      <w:r>
        <w:rPr>
          <w:b/>
          <w:bCs/>
        </w:rPr>
        <w:tab/>
        <w:tab/>
        <w:tab/>
      </w:r>
      <w:r>
        <w:rPr>
          <w:b/>
          <w:bCs/>
          <w:u w:val="single"/>
        </w:rPr>
        <w:t>Comment</w:t>
      </w:r>
      <w:r>
        <w:rPr>
          <w:b/>
          <w:bCs/>
        </w:rPr>
        <w:tab/>
      </w:r>
      <w:r>
        <w:rPr>
          <w:b/>
          <w:bCs/>
          <w:sz w:val="20"/>
          <w:szCs w:val="20"/>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2 Intrastate Warranty</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i/>
                <w:i/>
                <w:iCs/>
                <w:sz w:val="20"/>
                <w:szCs w:val="20"/>
              </w:rPr>
            </w:pPr>
            <w:r>
              <w:rPr>
                <w:b/>
                <w:bCs/>
                <w:sz w:val="20"/>
                <w:szCs w:val="20"/>
              </w:rPr>
              <w:t xml:space="preserve">Note Intrastate Warranty: the shipper is in “a world of hurt” if it does not supply gas that is pure, Texas, intrastate-only gas.  </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 xml:space="preserve"> </w:t>
            </w:r>
            <w:r>
              <w:rPr>
                <w:b/>
                <w:bCs/>
                <w:sz w:val="20"/>
                <w:szCs w:val="20"/>
              </w:rPr>
              <w:t>3.1 General Description</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NOTE that contract PROHIBITS delivery of gas quantity in excess of pre-scheduled quantity.  Consequences spelled out imply CONFISCATION of extra gas, rather than balancing.  ALSO NOTE if the quantity actually delivered falls below the scheduled quantity, HPL will not balance you – they undertake to deliver the LESSER of the amount pre-scheduled or actually delivered.   These are very rigid terms (although they may have a business justification and/or attractively low rate consequence), and any supply contracted to inject into their system would have to be reconciled with these rigid terms.  FINALLY NOTE minimum quantity of 5000/d at any receipt point.</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3.2 Nature of Firm Service</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i/>
                <w:i/>
                <w:iCs/>
                <w:sz w:val="20"/>
                <w:szCs w:val="20"/>
              </w:rPr>
            </w:pPr>
            <w:r>
              <w:rPr>
                <w:b/>
                <w:bCs/>
                <w:sz w:val="20"/>
                <w:szCs w:val="20"/>
              </w:rPr>
              <w:t xml:space="preserve">NOTE Transporter reserves right to make meter station ownership or operational changes that could at any time convert firm to interruptible service!  </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4.1 Receipt Points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NOTE: A long section that basically says you can try to negotiate new receipt points annually, but you have no right to insist, and you must not  raise the idea of increasing quantities at any existing receipt point, or increasing your aggregate (30,000 mmbtu).  Very restrictive in tone, but may not pose any practical problems.</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6.1 General Nomination and Scheduling Procedure</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NOTE that the provision calls for Shipper to comply in a timely way with the procedures for nomination in effect, but does not disclose in any way what those procedures are.  Where are they?  Can HPL change them  at will – without regulatory oversight?  Since they are not FERC jurisdictional, do they have a tariff at all, and does any intermediary rule on the fairness of the tariff (or “procedures”).   Or, are they self-regulating (with regard to things not in the tariff)?  The section also states that the Scheduled Volumes at the Receipt and Delivery points must equal each other (though does allow for the possibility of permitted discrepancies to eliminate imbalances.)</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6.2 Intramonthly Noms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Takes a fairly hard stand against them.  Does say will use “reasonable efforts” to accommodate them, but if so will honor them on an interruptible basis.  (NOTE:  you would think this would just apply to any increase in the nom, but the contract goes further : “any transportation service” is rendered on an interruptible basis if noms are changed.  Why?)</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6.3 Scheduling Deviations</w:t>
            </w:r>
          </w:p>
        </w:tc>
        <w:tc>
          <w:tcPr>
            <w:tcW w:w="6138" w:type="dxa"/>
            <w:tcBorders>
              <w:top w:val="single" w:sz="6" w:space="0" w:color="000000"/>
              <w:start w:val="single" w:sz="6" w:space="0" w:color="000000"/>
              <w:bottom w:val="single" w:sz="6" w:space="0" w:color="000000"/>
              <w:end w:val="single" w:sz="6" w:space="0" w:color="000000"/>
            </w:tcBorders>
          </w:tcPr>
          <w:p>
            <w:pPr>
              <w:pStyle w:val="Normal"/>
              <w:rPr/>
            </w:pPr>
            <w:r>
              <w:rPr>
                <w:b/>
                <w:bCs/>
                <w:sz w:val="20"/>
                <w:szCs w:val="20"/>
              </w:rPr>
              <w:t xml:space="preserve">This explains there is a fee ($0.25) if the monthly totals show a greater than 10% discrepancy between received or delivered volumes and </w:t>
            </w:r>
            <w:r>
              <w:rPr>
                <w:b/>
                <w:bCs/>
                <w:sz w:val="20"/>
                <w:szCs w:val="20"/>
                <w:u w:val="single"/>
              </w:rPr>
              <w:t>scheduled</w:t>
            </w:r>
            <w:r>
              <w:rPr>
                <w:b/>
                <w:bCs/>
                <w:sz w:val="20"/>
                <w:szCs w:val="20"/>
              </w:rPr>
              <w:t xml:space="preserve"> volumes.  The fee is assessed on the overage.  QUESTION: How does this section (which implies a 10% monthly tolerance and a moderate “penalty” for overages) square with sec. 3.1 (see above), which states:  “IN NO EVENT SHALL SHIPPER DELIVER OR RECEIVE A VOLUME OF GAS DURING ANY DAY HEREUNDER WHICH DIFFERS FROM THE SCHEDULED VOLUME “   If the latter is taken literally, the possibility of any discrepancy does not exist!</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6.4 Allocations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 xml:space="preserve">What allocations?  Under what circumstances? What are they talking about?  </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7.1 Demand Fee</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This calculation is based on applicable quantities times the “Transport Fee.”  That term is not defined.  Where, how is it set?</w:t>
            </w:r>
          </w:p>
          <w:p>
            <w:pPr>
              <w:pStyle w:val="Normal"/>
              <w:rPr>
                <w:b/>
                <w:bCs/>
                <w:sz w:val="20"/>
                <w:szCs w:val="20"/>
              </w:rPr>
            </w:pPr>
            <w:r>
              <w:rPr>
                <w:b/>
                <w:bCs/>
                <w:sz w:val="20"/>
                <w:szCs w:val="20"/>
              </w:rPr>
              <w:t>ANOTHER QUESTION:  Can the Shipper reduce a Max Quantity at a receipt point (to reduce the applicable Demand Fee); if so, how?</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7.3 Overrun Fee</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In the second sentence, the word “each” (second time it appears) seems unnecessary, while the word “which” seems necessary to insert between “at” and “such”.</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8.1 Contract Balancing</w:t>
            </w:r>
          </w:p>
        </w:tc>
        <w:tc>
          <w:tcPr>
            <w:tcW w:w="6138" w:type="dxa"/>
            <w:tcBorders>
              <w:top w:val="single" w:sz="6" w:space="0" w:color="000000"/>
              <w:start w:val="single" w:sz="6" w:space="0" w:color="000000"/>
              <w:bottom w:val="single" w:sz="6" w:space="0" w:color="000000"/>
              <w:end w:val="single" w:sz="6" w:space="0" w:color="000000"/>
            </w:tcBorders>
          </w:tcPr>
          <w:p>
            <w:pPr>
              <w:pStyle w:val="Normal"/>
              <w:rPr/>
            </w:pPr>
            <w:r>
              <w:rPr>
                <w:b/>
                <w:bCs/>
                <w:sz w:val="20"/>
                <w:szCs w:val="20"/>
              </w:rPr>
              <w:t>1</w:t>
            </w:r>
            <w:r>
              <w:rPr>
                <w:b/>
                <w:bCs/>
                <w:sz w:val="20"/>
                <w:szCs w:val="20"/>
                <w:vertAlign w:val="superscript"/>
              </w:rPr>
              <w:t>st</w:t>
            </w:r>
            <w:r>
              <w:rPr>
                <w:b/>
                <w:bCs/>
                <w:sz w:val="20"/>
                <w:szCs w:val="20"/>
              </w:rPr>
              <w:t xml:space="preserve"> sentence: “Shipper shall notify Transporter…”  Isn’t the Transporter likely to have this information before the Shipper (though they both may have it if relays are being monitored by both parties).  Not clear why the duty is cast on Shipper.  </w:t>
            </w:r>
          </w:p>
          <w:p>
            <w:pPr>
              <w:pStyle w:val="Normal"/>
              <w:rPr>
                <w:b/>
                <w:bCs/>
                <w:sz w:val="20"/>
                <w:szCs w:val="20"/>
              </w:rPr>
            </w:pPr>
            <w:r>
              <w:rPr>
                <w:b/>
                <w:bCs/>
                <w:sz w:val="20"/>
                <w:szCs w:val="20"/>
              </w:rPr>
              <w:t>Also, the “Imbalance Fee” concept set forth  (levied on unreduced imbalances after 30 days in excess of 5% of monthly volumes) seems reasonable enough, but appears to have the same inconsistency noted with respect to Sec. 3.1 that is observed above in comment on 6.3.</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8.2 Cashout Procedure</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Transporter reserves unilateral right to implement (generally) a “cashout” procedure in lieu of the Imbalance Fee set out in 8.1.  Again, is there regulatory oversight to insure fairness.</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9.1 Primary Term</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NOTICE there are alternative terms – 5/8 years.  Our choice?</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9.2 Early Termination</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 xml:space="preserve">This is lengthy, but provides (a) a procedural framework; and (b) the formula for calculating a payment for Shipper to “buy out” the remaining term on the contract.  </w:t>
            </w:r>
          </w:p>
          <w:p>
            <w:pPr>
              <w:pStyle w:val="Normal"/>
              <w:rPr/>
            </w:pPr>
            <w:r>
              <w:rPr>
                <w:b/>
                <w:bCs/>
                <w:sz w:val="20"/>
                <w:szCs w:val="20"/>
              </w:rPr>
              <w:t xml:space="preserve">NOTE:  there appear to be </w:t>
            </w:r>
            <w:r>
              <w:rPr>
                <w:b/>
                <w:bCs/>
                <w:sz w:val="20"/>
                <w:szCs w:val="20"/>
                <w:u w:val="single"/>
              </w:rPr>
              <w:t>missing words</w:t>
            </w:r>
            <w:r>
              <w:rPr>
                <w:b/>
                <w:bCs/>
                <w:sz w:val="20"/>
                <w:szCs w:val="20"/>
              </w:rPr>
              <w:t xml:space="preserve"> in the third line from the end (after “does not occur”).  QUESTION:  Not clear why there are complexities of calling meeting to debate what the Termination Payment is, with arbitration to follow.   The formula (subject to the missing words being clarified) appears to be designed to be a straightforward calculation – with no subjective or debatable issues.</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10.1 Pressure</w:t>
            </w:r>
          </w:p>
        </w:tc>
        <w:tc>
          <w:tcPr>
            <w:tcW w:w="6138" w:type="dxa"/>
            <w:tcBorders>
              <w:top w:val="single" w:sz="6" w:space="0" w:color="000000"/>
              <w:start w:val="single" w:sz="6" w:space="0" w:color="000000"/>
              <w:bottom w:val="single" w:sz="6" w:space="0" w:color="000000"/>
              <w:end w:val="single" w:sz="6" w:space="0" w:color="000000"/>
            </w:tcBorders>
          </w:tcPr>
          <w:p>
            <w:pPr>
              <w:pStyle w:val="Normal"/>
              <w:rPr/>
            </w:pPr>
            <w:r>
              <w:rPr>
                <w:b/>
                <w:bCs/>
                <w:sz w:val="20"/>
                <w:szCs w:val="20"/>
              </w:rPr>
              <w:t xml:space="preserve">NOTICE unusual element of stipulation that Shipper must ensure and document “overpressure protection facilities” upstream of receipt point (or Transporter may do it </w:t>
            </w:r>
            <w:r>
              <w:rPr>
                <w:b/>
                <w:bCs/>
                <w:sz w:val="20"/>
                <w:szCs w:val="20"/>
                <w:u w:val="single"/>
              </w:rPr>
              <w:t>at Shipper’s expense</w:t>
            </w:r>
            <w:r>
              <w:rPr>
                <w:b/>
                <w:bCs/>
                <w:sz w:val="20"/>
                <w:szCs w:val="20"/>
              </w:rPr>
              <w:t>). How do we comply with this item (not being in control of upstream facilities)?</w:t>
            </w:r>
          </w:p>
          <w:p>
            <w:pPr>
              <w:pStyle w:val="Normal"/>
              <w:rPr>
                <w:b/>
                <w:bCs/>
                <w:sz w:val="20"/>
                <w:szCs w:val="20"/>
              </w:rPr>
            </w:pPr>
            <w:r>
              <w:rPr>
                <w:b/>
                <w:bCs/>
                <w:sz w:val="20"/>
                <w:szCs w:val="20"/>
              </w:rPr>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10.2 Quality</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You and P. Curfman need to satisfy yourselves that the specs are ok.</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11 – Metering</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Since these procedures may be unilaterally changed by Transporter, question raised above applies:  is there any third party review or recourse.</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12.2 and 3</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In the subsection headed “Addresses” is something more substantive.  Although the preceding section 12.2 propounds rules on when hand-delivered on faxed  notices are deemed received (which are acceptable),  section 12.3 throws in another “deemed” received – that US Certified Mail, return receipt requested, is deemed received 3 days after sending.  Why?  If the postman’s receipt shows it took 4 or 5 days (or whatever), why should the receiving party be “deemed” to have received it earlier?  Our position is, the sender (who chooses the mode of delivery) should bear this risk.  Let the sender choose fax or courier if he needs to notify the other party in a 1-3 day period.</w:t>
            </w:r>
          </w:p>
          <w:p>
            <w:pPr>
              <w:pStyle w:val="Normal"/>
              <w:rPr>
                <w:b/>
                <w:bCs/>
                <w:sz w:val="20"/>
                <w:szCs w:val="20"/>
              </w:rPr>
            </w:pPr>
            <w:r>
              <w:rPr>
                <w:b/>
                <w:bCs/>
                <w:sz w:val="20"/>
                <w:szCs w:val="20"/>
              </w:rPr>
              <w:t>ALSO, for notices to RMC include the Corp. Sec.’y office as “cc.”</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13.1 Force Majeure</w:t>
            </w:r>
          </w:p>
        </w:tc>
        <w:tc>
          <w:tcPr>
            <w:tcW w:w="613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20" w:start="720" w:end="0"/>
              <w:rPr>
                <w:b/>
                <w:bCs/>
                <w:sz w:val="20"/>
                <w:szCs w:val="20"/>
              </w:rPr>
            </w:pPr>
            <w:r>
              <w:rPr>
                <w:b/>
                <w:bCs/>
                <w:sz w:val="20"/>
                <w:szCs w:val="20"/>
              </w:rPr>
              <w:t>A one-side provision:  by its terms, only Transporter has rights, not Shipper.  FM should be bi-lateral</w:t>
            </w:r>
          </w:p>
          <w:p>
            <w:pPr>
              <w:pStyle w:val="Normal"/>
              <w:numPr>
                <w:ilvl w:val="0"/>
                <w:numId w:val="1"/>
              </w:numPr>
              <w:tabs>
                <w:tab w:val="clear" w:pos="720"/>
                <w:tab w:val="left" w:pos="0" w:leader="none"/>
              </w:tabs>
              <w:ind w:hanging="720" w:start="720" w:end="0"/>
              <w:rPr/>
            </w:pPr>
            <w:r>
              <w:rPr>
                <w:b/>
                <w:bCs/>
                <w:sz w:val="20"/>
                <w:szCs w:val="20"/>
              </w:rPr>
              <w:t>Unusually, the clause broadens FM by stipulating that negligence or willful misconduct by 3</w:t>
            </w:r>
            <w:r>
              <w:rPr>
                <w:b/>
                <w:bCs/>
                <w:sz w:val="20"/>
                <w:szCs w:val="20"/>
                <w:vertAlign w:val="superscript"/>
              </w:rPr>
              <w:t>rd</w:t>
            </w:r>
            <w:r>
              <w:rPr>
                <w:b/>
                <w:bCs/>
                <w:sz w:val="20"/>
                <w:szCs w:val="20"/>
              </w:rPr>
              <w:t xml:space="preserve"> parties </w:t>
            </w:r>
            <w:r>
              <w:rPr>
                <w:b/>
                <w:bCs/>
                <w:sz w:val="20"/>
                <w:szCs w:val="20"/>
                <w:u w:val="single"/>
              </w:rPr>
              <w:t>who are under the control of, or supervision of, the Transporter</w:t>
            </w:r>
            <w:r>
              <w:rPr>
                <w:b/>
                <w:bCs/>
                <w:sz w:val="20"/>
                <w:szCs w:val="20"/>
              </w:rPr>
              <w:t xml:space="preserve"> that interrupts ability to perform </w:t>
            </w:r>
            <w:r>
              <w:rPr>
                <w:b/>
                <w:bCs/>
                <w:sz w:val="20"/>
                <w:szCs w:val="20"/>
                <w:u w:val="single"/>
              </w:rPr>
              <w:t>counts</w:t>
            </w:r>
            <w:r>
              <w:rPr>
                <w:b/>
                <w:bCs/>
                <w:sz w:val="20"/>
                <w:szCs w:val="20"/>
              </w:rPr>
              <w:t xml:space="preserve"> as a FM.  That may be acceptable (though it stretches FM) if the clause is bilateral; but what if the 3</w:t>
            </w:r>
            <w:r>
              <w:rPr>
                <w:b/>
                <w:bCs/>
                <w:sz w:val="20"/>
                <w:szCs w:val="20"/>
                <w:vertAlign w:val="superscript"/>
              </w:rPr>
              <w:t>rd</w:t>
            </w:r>
            <w:r>
              <w:rPr>
                <w:b/>
                <w:bCs/>
                <w:sz w:val="20"/>
                <w:szCs w:val="20"/>
              </w:rPr>
              <w:t xml:space="preserve"> party is an affiliate of the Transporter (which is quite likely in the case of HPL).  In that case, no FM should be available.  Fix this by inserting “unaffiliated” before “third parties” in the 4</w:t>
            </w:r>
            <w:r>
              <w:rPr>
                <w:b/>
                <w:bCs/>
                <w:sz w:val="20"/>
                <w:szCs w:val="20"/>
                <w:vertAlign w:val="superscript"/>
              </w:rPr>
              <w:t>th</w:t>
            </w:r>
            <w:r>
              <w:rPr>
                <w:b/>
                <w:bCs/>
                <w:sz w:val="20"/>
                <w:szCs w:val="20"/>
              </w:rPr>
              <w:t xml:space="preserve"> line of 13.1</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b/>
                <w:bCs/>
                <w:sz w:val="20"/>
                <w:szCs w:val="20"/>
              </w:rPr>
            </w:pPr>
            <w:r>
              <w:rPr>
                <w:b/>
                <w:bCs/>
                <w:sz w:val="20"/>
                <w:szCs w:val="20"/>
              </w:rPr>
              <w:t>13.5 and .6 – Extended Force Majeure and Pro-rating</w:t>
            </w:r>
          </w:p>
        </w:tc>
        <w:tc>
          <w:tcPr>
            <w:tcW w:w="613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20" w:start="720" w:end="0"/>
              <w:rPr/>
            </w:pPr>
            <w:r>
              <w:rPr>
                <w:b/>
                <w:bCs/>
                <w:sz w:val="20"/>
                <w:szCs w:val="20"/>
              </w:rPr>
              <w:t xml:space="preserve">The pro-rating section establishes that reduction in </w:t>
            </w:r>
            <w:r>
              <w:rPr>
                <w:b/>
                <w:bCs/>
                <w:sz w:val="20"/>
                <w:szCs w:val="20"/>
                <w:u w:val="single"/>
              </w:rPr>
              <w:t>service capability</w:t>
            </w:r>
            <w:r>
              <w:rPr>
                <w:b/>
                <w:bCs/>
                <w:sz w:val="20"/>
                <w:szCs w:val="20"/>
              </w:rPr>
              <w:t xml:space="preserve"> will be pro rated among all firm shippers which is OK (thought I would add “reasonably” between “may be” and “required” in 3</w:t>
            </w:r>
            <w:r>
              <w:rPr>
                <w:b/>
                <w:bCs/>
                <w:sz w:val="20"/>
                <w:szCs w:val="20"/>
                <w:vertAlign w:val="superscript"/>
              </w:rPr>
              <w:t>rd</w:t>
            </w:r>
            <w:r>
              <w:rPr>
                <w:b/>
                <w:bCs/>
                <w:sz w:val="20"/>
                <w:szCs w:val="20"/>
              </w:rPr>
              <w:t xml:space="preserve"> line;  however, </w:t>
            </w:r>
            <w:r>
              <w:rPr>
                <w:b/>
                <w:bCs/>
                <w:sz w:val="20"/>
                <w:szCs w:val="20"/>
                <w:u w:val="single"/>
              </w:rPr>
              <w:t>nothing is said about pro-rating billings under the “Demand Fee” clause</w:t>
            </w:r>
            <w:r>
              <w:rPr>
                <w:b/>
                <w:bCs/>
                <w:sz w:val="20"/>
                <w:szCs w:val="20"/>
              </w:rPr>
              <w:t xml:space="preserve"> to relieve the Shipper of such charges to the extent service has been reduced/eliminated by Transporter under this clause.</w:t>
            </w:r>
          </w:p>
          <w:p>
            <w:pPr>
              <w:pStyle w:val="Normal"/>
              <w:numPr>
                <w:ilvl w:val="0"/>
                <w:numId w:val="1"/>
              </w:numPr>
              <w:tabs>
                <w:tab w:val="clear" w:pos="720"/>
                <w:tab w:val="left" w:pos="0" w:leader="none"/>
              </w:tabs>
              <w:ind w:hanging="720" w:start="720" w:end="0"/>
              <w:rPr>
                <w:b/>
                <w:bCs/>
                <w:sz w:val="20"/>
                <w:szCs w:val="20"/>
              </w:rPr>
            </w:pPr>
            <w:r>
              <w:rPr>
                <w:b/>
                <w:bCs/>
                <w:sz w:val="20"/>
                <w:szCs w:val="20"/>
              </w:rPr>
              <w:t>Consider whether an extended FM of, say, 5 days or more should release the other party to make alternative arrangements for a commercially reasonably block of time (e.g., to the end of the calendar month?) without having an obligation to return to doing business with the FM-claiming party over that defined interval.</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b/>
                <w:bCs/>
                <w:sz w:val="20"/>
                <w:szCs w:val="20"/>
              </w:rPr>
            </w:pPr>
            <w:r>
              <w:rPr>
                <w:b/>
                <w:bCs/>
                <w:sz w:val="20"/>
                <w:szCs w:val="20"/>
              </w:rPr>
              <w:t>14.3 Taxes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Let’s get the opinion of our tax department on this.</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15.1 Payment of Demand Fee and Other Fees</w:t>
            </w:r>
          </w:p>
        </w:tc>
        <w:tc>
          <w:tcPr>
            <w:tcW w:w="613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20" w:start="720" w:end="0"/>
              <w:rPr/>
            </w:pPr>
            <w:r>
              <w:rPr>
                <w:b/>
                <w:bCs/>
                <w:sz w:val="20"/>
                <w:szCs w:val="20"/>
              </w:rPr>
              <w:t xml:space="preserve">Transporter has right to suspend delivery if payment </w:t>
            </w:r>
            <w:r>
              <w:rPr>
                <w:b/>
                <w:bCs/>
                <w:sz w:val="20"/>
                <w:szCs w:val="20"/>
                <w:u w:val="single"/>
              </w:rPr>
              <w:t>not received on the due date.</w:t>
            </w:r>
            <w:r>
              <w:rPr>
                <w:b/>
                <w:bCs/>
                <w:sz w:val="20"/>
                <w:szCs w:val="20"/>
              </w:rPr>
              <w:t xml:space="preserve">  Should be modified to provide suspension right only upon additional written notice (of non-receipt by due date) and grace period (e.g., 2 business days).</w:t>
            </w:r>
          </w:p>
          <w:p>
            <w:pPr>
              <w:pStyle w:val="Normal"/>
              <w:numPr>
                <w:ilvl w:val="0"/>
                <w:numId w:val="1"/>
              </w:numPr>
              <w:tabs>
                <w:tab w:val="clear" w:pos="720"/>
                <w:tab w:val="left" w:pos="0" w:leader="none"/>
              </w:tabs>
              <w:ind w:hanging="720" w:start="720" w:end="0"/>
              <w:rPr>
                <w:b/>
                <w:bCs/>
                <w:sz w:val="20"/>
                <w:szCs w:val="20"/>
              </w:rPr>
            </w:pPr>
            <w:r>
              <w:rPr>
                <w:b/>
                <w:bCs/>
                <w:sz w:val="20"/>
                <w:szCs w:val="20"/>
              </w:rPr>
              <w:t xml:space="preserve">If  payment not received in 60 days, Transporter has both the right to “accelerate” all prospective payments to end of contract; AND terminate contract to boot.  While this scenario is highly unlikely, it seems unfair to give Transporter his full payment for future as well as past service, but not give the Shipper the service he’s (thus) paid for.  </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b/>
                <w:bCs/>
                <w:sz w:val="20"/>
                <w:szCs w:val="20"/>
              </w:rPr>
            </w:pPr>
            <w:r>
              <w:rPr>
                <w:b/>
                <w:bCs/>
                <w:sz w:val="20"/>
                <w:szCs w:val="20"/>
              </w:rPr>
              <w:t>15.4 Accounting Adjustments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Out of curiosity, how could an “allocation or measurement adjustment” from an upstream pipeline take place later than 24 months?  That seems like a long enough period.</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16 Arbitration</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Enron’s preference for arbitration  collides with our preference for mediation, with arbitration as an option for specific disputes but the courts as a fallback.  Who will give ground?</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17.2 -  No Waiver</w:t>
            </w:r>
          </w:p>
        </w:tc>
        <w:tc>
          <w:tcPr>
            <w:tcW w:w="6138" w:type="dxa"/>
            <w:tcBorders>
              <w:top w:val="single" w:sz="6" w:space="0" w:color="000000"/>
              <w:start w:val="single" w:sz="6" w:space="0" w:color="000000"/>
              <w:bottom w:val="single" w:sz="6" w:space="0" w:color="000000"/>
              <w:end w:val="single" w:sz="6" w:space="0" w:color="000000"/>
            </w:tcBorders>
          </w:tcPr>
          <w:p>
            <w:pPr>
              <w:pStyle w:val="Normal"/>
              <w:rPr/>
            </w:pPr>
            <w:r>
              <w:rPr>
                <w:b/>
                <w:bCs/>
                <w:sz w:val="20"/>
                <w:szCs w:val="20"/>
              </w:rPr>
              <w:t>The provision is fine up to “otherwise” in 4</w:t>
            </w:r>
            <w:r>
              <w:rPr>
                <w:b/>
                <w:bCs/>
                <w:sz w:val="20"/>
                <w:szCs w:val="20"/>
                <w:vertAlign w:val="superscript"/>
              </w:rPr>
              <w:t>th</w:t>
            </w:r>
            <w:r>
              <w:rPr>
                <w:b/>
                <w:bCs/>
                <w:sz w:val="20"/>
                <w:szCs w:val="20"/>
              </w:rPr>
              <w:t xml:space="preserve"> line.  Beyond that, regarding stipulation that all waivers must be in writing:  instead, common law should apply:  if a party by its conduct fails to insist on some right, let the court (or arbitrator) decide whether the failure was so grievous that enforcing it belatedly is unjust to other party.  </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17.7 – Severability</w:t>
            </w:r>
          </w:p>
        </w:tc>
        <w:tc>
          <w:tcPr>
            <w:tcW w:w="6138" w:type="dxa"/>
            <w:tcBorders>
              <w:top w:val="single" w:sz="6" w:space="0" w:color="000000"/>
              <w:start w:val="single" w:sz="6" w:space="0" w:color="000000"/>
              <w:bottom w:val="single" w:sz="6" w:space="0" w:color="000000"/>
              <w:end w:val="single" w:sz="6" w:space="0" w:color="000000"/>
            </w:tcBorders>
          </w:tcPr>
          <w:p>
            <w:pPr>
              <w:pStyle w:val="Normal"/>
              <w:rPr/>
            </w:pPr>
            <w:r>
              <w:rPr>
                <w:b/>
                <w:bCs/>
                <w:sz w:val="20"/>
                <w:szCs w:val="20"/>
              </w:rPr>
              <w:t>Okay provided there be an insert, “should such adjustments be made accordingly,” in the 5</w:t>
            </w:r>
            <w:r>
              <w:rPr>
                <w:b/>
                <w:bCs/>
                <w:sz w:val="20"/>
                <w:szCs w:val="20"/>
                <w:vertAlign w:val="superscript"/>
              </w:rPr>
              <w:t>th</w:t>
            </w:r>
            <w:r>
              <w:rPr>
                <w:b/>
                <w:bCs/>
                <w:sz w:val="20"/>
                <w:szCs w:val="20"/>
              </w:rPr>
              <w:t xml:space="preserve"> line between “and” and “the validity.”</w:t>
            </w:r>
          </w:p>
        </w:tc>
      </w:tr>
      <w:tr>
        <w:trPr/>
        <w:tc>
          <w:tcPr>
            <w:tcW w:w="271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17.11 – Recordings</w:t>
            </w:r>
          </w:p>
        </w:tc>
        <w:tc>
          <w:tcPr>
            <w:tcW w:w="6138" w:type="dxa"/>
            <w:tcBorders>
              <w:top w:val="single" w:sz="6" w:space="0" w:color="000000"/>
              <w:start w:val="single" w:sz="6" w:space="0" w:color="000000"/>
              <w:bottom w:val="single" w:sz="6" w:space="0" w:color="000000"/>
              <w:end w:val="single" w:sz="6" w:space="0" w:color="000000"/>
            </w:tcBorders>
          </w:tcPr>
          <w:p>
            <w:pPr>
              <w:pStyle w:val="Normal"/>
              <w:rPr>
                <w:b/>
                <w:bCs/>
                <w:sz w:val="20"/>
                <w:szCs w:val="20"/>
              </w:rPr>
            </w:pPr>
            <w:r>
              <w:rPr>
                <w:b/>
                <w:bCs/>
                <w:sz w:val="20"/>
                <w:szCs w:val="20"/>
              </w:rPr>
              <w:t>I see no necessity for this in the context of the agreement.  If a specific example of the necessity can be cited, we would consider.  I don’t believe we intend to record phone conversations related to the administration of the agreement.</w:t>
            </w:r>
          </w:p>
        </w:tc>
      </w:tr>
    </w:tbl>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1999-12-08T10:55:00Z</dcterms:created>
  <dc:creator>Authorized User</dc:creator>
  <dc:description/>
  <dc:language>en-CA</dc:language>
  <cp:lastModifiedBy>Authorized User</cp:lastModifiedBy>
  <dcterms:modified xsi:type="dcterms:W3CDTF">1999-12-08T10:55:00Z</dcterms:modified>
  <cp:revision>1</cp:revision>
  <dc:subject/>
  <dc:title>Comments on HPL Transportation Agreement</dc:title>
</cp:coreProperties>
</file>