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rPr>
        <w:t>UNITED STATES OF AMERICA</w:t>
      </w:r>
    </w:p>
    <w:p>
      <w:pPr>
        <w:pStyle w:val="Normal"/>
        <w:tabs>
          <w:tab w:val="clear" w:pos="720"/>
          <w:tab w:val="center" w:pos="4680" w:leader="none"/>
        </w:tabs>
        <w:rPr>
          <w:rFonts w:ascii="Times New Roman" w:hAnsi="Times New Roman" w:cs="Times New Roman"/>
        </w:rPr>
      </w:pPr>
      <w:r>
        <w:rPr>
          <w:rFonts w:cs="Times New Roman" w:ascii="Times New Roman" w:hAnsi="Times New Roman"/>
        </w:rPr>
        <w:tab/>
        <w:t>FEDERAL ENERGY REGULATORY COMMISSION</w:t>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1440" w:leader="none"/>
        </w:tabs>
        <w:ind w:hanging="5760" w:start="5760" w:end="0"/>
        <w:rPr>
          <w:rFonts w:ascii="Times New Roman" w:hAnsi="Times New Roman" w:cs="Times New Roman"/>
        </w:rPr>
      </w:pPr>
      <w:r>
        <w:rPr>
          <w:rFonts w:cs="Times New Roman" w:ascii="Times New Roman" w:hAnsi="Times New Roman"/>
        </w:rPr>
        <w:t xml:space="preserve">Electricity Market Design and Structure </w:t>
        <w:tab/>
        <w:t>Docket No. RM01-12-000</w:t>
      </w:r>
    </w:p>
    <w:p>
      <w:pPr>
        <w:pStyle w:val="Normal"/>
        <w:tabs>
          <w:tab w:val="clear" w:pos="720"/>
          <w:tab w:val="left" w:pos="-1440" w:leader="none"/>
        </w:tabs>
        <w:ind w:hanging="5760" w:start="5760" w:end="0"/>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pPr>
      <w:r>
        <w:rPr>
          <w:rFonts w:cs="Times New Roman" w:ascii="Times New Roman" w:hAnsi="Times New Roman"/>
        </w:rPr>
        <w:t>Pursuant to the Notice of Workshop Organization and Agenda dated October 5, 2001, [</w:t>
      </w:r>
      <w:r>
        <w:rPr>
          <w:rFonts w:cs="Times New Roman" w:ascii="Times New Roman" w:hAnsi="Times New Roman"/>
          <w:highlight w:val="yellow"/>
        </w:rPr>
        <w:t>list commenters</w:t>
      </w:r>
      <w:r>
        <w:rPr>
          <w:rFonts w:cs="Times New Roman" w:ascii="Times New Roman" w:hAnsi="Times New Roman"/>
        </w:rPr>
        <w:t>] (“Joint Commenters”) submit written comments on the issue of RTO Markets and Design.</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pPr>
      <w:r>
        <w:rPr>
          <w:rFonts w:cs="Times New Roman" w:ascii="Times New Roman" w:hAnsi="Times New Roman"/>
        </w:rPr>
        <w:t>Joint Commenters support the Commission initiative to develop a Standard Market Design (“SMD”) requirement for Regional Transmission Organizations (“RTOs”) in order to enhance competition, and provide greater transparency, and efficiency in wholesale electric power markets.  In the two years since the Commission issued Order No. 2000, most stakeholders have recognized that the essential functions of an RTO are  somewhat  broader than those articulated in Order No. 2000.  Although Order No. 2000 did not explicitly require RTOs to standardize market design and run an open spot market, experience has show that in fact we do need a standard design and it needs ot include a central spot market run by the RTO (or by a designated central market operator.)  As the Commission seeks to clarify RTO requirements, it should recognize that the requisite market design features have become apparent.  At this point the Commission needs to make what was implicit, explicit.</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Joint Commenters believe that the minimum elements of a SMD are:</w:t>
      </w:r>
    </w:p>
    <w:p>
      <w:pPr>
        <w:pStyle w:val="Normal"/>
        <w:ind w:start="720" w:end="0"/>
        <w:jc w:val="start"/>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2"/>
        </w:numPr>
        <w:ind w:hanging="360" w:start="1080" w:end="720"/>
        <w:rPr>
          <w:rFonts w:ascii="Times New Roman" w:hAnsi="Times New Roman" w:cs="Times New Roman"/>
          <w:color w:val="000000"/>
          <w:lang w:eastAsia="en-US"/>
        </w:rPr>
      </w:pPr>
      <w:r>
        <w:rPr>
          <w:rFonts w:cs="Times New Roman" w:ascii="Times New Roman" w:hAnsi="Times New Roman"/>
          <w:color w:val="000000"/>
          <w:lang w:eastAsia="en-US"/>
        </w:rPr>
        <w:t>A bid-based real-time balancing market using Locational Marginal Pricing (LMP), with no administrative penalties</w:t>
      </w:r>
    </w:p>
    <w:p>
      <w:pPr>
        <w:pStyle w:val="Normal"/>
        <w:ind w:end="72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2"/>
        </w:numPr>
        <w:ind w:hanging="360" w:start="1080" w:end="720"/>
        <w:rPr>
          <w:rFonts w:ascii="Times New Roman" w:hAnsi="Times New Roman" w:cs="Times New Roman"/>
          <w:color w:val="000000"/>
          <w:lang w:eastAsia="en-US"/>
        </w:rPr>
      </w:pPr>
      <w:r>
        <w:rPr>
          <w:rFonts w:cs="Times New Roman" w:ascii="Times New Roman" w:hAnsi="Times New Roman"/>
          <w:color w:val="000000"/>
          <w:lang w:eastAsia="en-US"/>
        </w:rPr>
        <w:t>A day-ahead bid-based market for energy and ancillary services, also using LMP pricing, to ensure that sufficient generation is committed day-ahead for reliable operations and to provide day-ahead price signals for market participants, including demand-side participants</w:t>
      </w:r>
    </w:p>
    <w:p>
      <w:pPr>
        <w:pStyle w:val="BodyTextIndent"/>
        <w:ind w:hanging="360" w:start="1080" w:end="720"/>
        <w:rPr>
          <w:rFonts w:ascii="Times New Roman" w:hAnsi="Times New Roman" w:cs="Times New Roman"/>
          <w:color w:val="000000"/>
          <w:lang w:eastAsia="en-US"/>
        </w:rPr>
      </w:pPr>
      <w:r>
        <w:rPr>
          <w:rFonts w:cs="Times New Roman"/>
          <w:color w:val="000000"/>
          <w:lang w:eastAsia="en-US"/>
        </w:rPr>
      </w:r>
    </w:p>
    <w:p>
      <w:pPr>
        <w:pStyle w:val="Normal"/>
        <w:ind w:hanging="360" w:start="1080" w:end="720"/>
        <w:rPr>
          <w:rFonts w:ascii="Times New Roman" w:hAnsi="Times New Roman" w:cs="Times New Roman"/>
          <w:color w:val="000000"/>
          <w:lang w:eastAsia="en-US"/>
        </w:rPr>
      </w:pPr>
      <w:r>
        <w:rPr>
          <w:rFonts w:cs="Times New Roman" w:ascii="Times New Roman" w:hAnsi="Times New Roman"/>
          <w:color w:val="000000"/>
          <w:lang w:eastAsia="en-US"/>
        </w:rPr>
        <w:t>3.</w:t>
        <w:tab/>
        <w:t>An LMP-based</w:t>
      </w:r>
      <w:r>
        <w:rPr>
          <w:rFonts w:cs="Times New Roman" w:ascii="Times New Roman" w:hAnsi="Times New Roman"/>
        </w:rPr>
        <w:t xml:space="preserve"> congestion management system that uses the day-ahead and real-time markets to maximize use of the grid and set congestion charges</w:t>
      </w:r>
    </w:p>
    <w:p>
      <w:pPr>
        <w:pStyle w:val="Normal"/>
        <w:ind w:hanging="360" w:start="1080" w:end="720"/>
        <w:jc w:val="start"/>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ind w:hanging="360" w:start="1080" w:end="720"/>
        <w:rPr/>
      </w:pPr>
      <w:r>
        <w:rPr/>
        <w:t>4.</w:t>
        <w:tab/>
        <w:t>A set of financial congestion hedges to facilitate a liquid forward market.  These should be in the form of point-to-point rights, as well as flowgate-denoted financial rights if they can be issued consistent with point-to-point rights</w:t>
      </w:r>
    </w:p>
    <w:p>
      <w:pPr>
        <w:pStyle w:val="Normal"/>
        <w:ind w:hanging="360" w:start="1080" w:end="720"/>
        <w:jc w:val="start"/>
        <w:rPr>
          <w:rFonts w:ascii="Times New Roman" w:hAnsi="Times New Roman" w:cs="Times New Roman"/>
          <w:color w:val="000000"/>
          <w:lang w:eastAsia="en-US"/>
        </w:rPr>
      </w:pPr>
      <w:r>
        <w:rPr>
          <w:rFonts w:cs="Times New Roman" w:ascii="Times New Roman" w:hAnsi="Times New Roman"/>
          <w:color w:val="000000"/>
          <w:lang w:eastAsia="en-US"/>
        </w:rPr>
      </w:r>
    </w:p>
    <w:p>
      <w:pPr>
        <w:pStyle w:val="BlockText"/>
        <w:rPr/>
      </w:pPr>
      <w:r>
        <w:rPr/>
        <w:t>5.</w:t>
        <w:tab/>
        <w:t>A capacity or reserve requirement</w:t>
      </w:r>
    </w:p>
    <w:p>
      <w:pPr>
        <w:pStyle w:val="Normal"/>
        <w:ind w:hanging="360" w:start="1080" w:end="720"/>
        <w:jc w:val="start"/>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ind w:hanging="360" w:start="1080" w:end="720"/>
        <w:rPr/>
      </w:pPr>
      <w:r>
        <w:rPr/>
        <w:t>6.</w:t>
        <w:tab/>
        <w:t>A market-driven grid expansion protocol that puts generation and transmission investments on a level playing field to the greatest extent possible.</w:t>
      </w:r>
    </w:p>
    <w:p>
      <w:pPr>
        <w:pStyle w:val="Normal"/>
        <w:ind w:hanging="360" w:start="1080" w:end="720"/>
        <w:jc w:val="start"/>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ind w:hanging="360" w:start="1080" w:end="720"/>
        <w:rPr>
          <w:color w:val="FF00FF"/>
        </w:rPr>
      </w:pPr>
      <w:r>
        <w:rPr/>
        <w:t>7.</w:t>
        <w:tab/>
        <w:t>Finally, the Commission needs to specify these market attributes and settle on a standard design within a time certain (Joint Commenters suggest six months.) The structure can be reviewed after 18 months to assess if it is adequately facilitating robust wholesale markets.</w:t>
      </w:r>
    </w:p>
    <w:p>
      <w:pPr>
        <w:pStyle w:val="Normal"/>
        <w:jc w:val="start"/>
        <w:rPr>
          <w:rFonts w:ascii="Times New Roman" w:hAnsi="Times New Roman" w:cs="Times New Roman"/>
          <w:color w:val="FF00FF"/>
          <w:lang w:eastAsia="en-US"/>
        </w:rPr>
      </w:pPr>
      <w:r>
        <w:rPr>
          <w:rFonts w:cs="Times New Roman" w:ascii="Times New Roman" w:hAnsi="Times New Roman"/>
          <w:color w:val="FF00FF"/>
          <w:lang w:eastAsia="en-US"/>
        </w:rPr>
      </w:r>
    </w:p>
    <w:p>
      <w:pPr>
        <w:pStyle w:val="Heading1"/>
        <w:ind w:hanging="0" w:start="0"/>
        <w:rPr/>
      </w:pPr>
      <w:r>
        <w:rPr/>
        <w:t>Bid-based LMP Real-time Market</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eastAsia="en-US"/>
        </w:rPr>
        <w:t xml:space="preserve">In Order No. 2000, the Commission found that real-time balancing markets are necessary to ensure non-discriminatory access to the grid and to support emerging competitive energy markets.  </w:t>
      </w:r>
      <w:r>
        <w:rPr>
          <w:rFonts w:cs="Times New Roman" w:ascii="Times New Roman" w:hAnsi="Times New Roman"/>
        </w:rPr>
        <w:t xml:space="preserve">The Commission explicitly stated that an RTO </w:t>
      </w:r>
      <w:r>
        <w:rPr>
          <w:rFonts w:cs="Times New Roman" w:ascii="Times New Roman" w:hAnsi="Times New Roman"/>
          <w:lang w:eastAsia="en-US"/>
        </w:rPr>
        <w:t xml:space="preserve">must either operate a real-time balancing market itself, or ensure that another entity that is not affiliated with any market participant operate such a market. </w:t>
      </w:r>
      <w:r>
        <w:rPr>
          <w:rFonts w:cs="Times New Roman" w:ascii="Times New Roman" w:hAnsi="Times New Roman"/>
          <w:b/>
          <w:lang w:eastAsia="en-US"/>
        </w:rPr>
        <w:t>[Cite]</w:t>
      </w:r>
      <w:r>
        <w:rPr>
          <w:rFonts w:cs="Times New Roman" w:ascii="Times New Roman" w:hAnsi="Times New Roman"/>
          <w:lang w:eastAsia="en-US"/>
        </w:rPr>
        <w:t xml:space="preserve">  The only remaining question is the design of such a market. A bid-based, security-constrained economic dispatch using  pricing based on LMP principles satisfies the requirements of Order 2000. non-discrimination.  Based on several years of experience in PJM and New York, we know this approach to real-time market works.  Such a system ensures that market participants pay or are paid the spot price of energy, a price that not only takes into account the price customers are willing to buy and sell that energy, but also the impact of congestion.</w:t>
      </w:r>
      <w:r>
        <w:rPr>
          <w:rStyle w:val="FootnoteCharacters"/>
          <w:rStyle w:val="FootnoteReference"/>
          <w:rFonts w:cs="Times New Roman" w:ascii="Times New Roman" w:hAnsi="Times New Roman"/>
          <w:lang w:eastAsia="en-US"/>
        </w:rPr>
        <w:footnoteReference w:id="2"/>
      </w:r>
      <w:r>
        <w:rPr>
          <w:rFonts w:cs="Times New Roman" w:ascii="Times New Roman" w:hAnsi="Times New Roman"/>
          <w:lang w:eastAsia="en-US"/>
        </w:rPr>
        <w:t xml:space="preserve">  </w:t>
      </w:r>
    </w:p>
    <w:p>
      <w:pPr>
        <w:pStyle w:val="Heading2"/>
        <w:ind w:hanging="0" w:start="0"/>
        <w:rPr>
          <w:rFonts w:ascii="Times New Roman" w:hAnsi="Times New Roman" w:cs="Times New Roman"/>
          <w:lang w:eastAsia="en-US"/>
        </w:rPr>
      </w:pPr>
      <w:r>
        <w:rPr>
          <w:rFonts w:cs="Times New Roman"/>
          <w:lang w:eastAsia="en-US"/>
        </w:rPr>
      </w:r>
    </w:p>
    <w:p>
      <w:pPr>
        <w:pStyle w:val="PlainText"/>
        <w:jc w:val="both"/>
        <w:rPr>
          <w:rFonts w:ascii="Times New Roman" w:hAnsi="Times New Roman" w:cs="Times New Roman"/>
          <w:i/>
          <w:i/>
          <w:sz w:val="24"/>
        </w:rPr>
      </w:pPr>
      <w:r>
        <w:rPr>
          <w:rFonts w:cs="Times New Roman" w:ascii="Times New Roman" w:hAnsi="Times New Roman"/>
          <w:sz w:val="24"/>
        </w:rPr>
        <w:t xml:space="preserve">With an LMP real time market which gets the prices right,  there is no need for administrative balancing penalties.  Some loads, such a certain retail access customers who own or operate facilities or equipment used in the metal melting, heating or processing industries, have highly variable and unpredictable loads.  Administrative penalties discourage such customers from participating in retail access.  Thus, an LMP system that settles at market prices and does not require administrative penalties provides additional flexibility and can facilitate retail access for certain loads. </w:t>
      </w:r>
    </w:p>
    <w:p>
      <w:pPr>
        <w:pStyle w:val="Normal"/>
        <w:rPr>
          <w:rStyle w:val="DefaultParagraphFont"/>
          <w:rFonts w:ascii="Times New Roman" w:hAnsi="Times New Roman" w:cs="Times New Roman"/>
          <w:i/>
          <w:i/>
          <w:sz w:val="24"/>
        </w:rPr>
      </w:pPr>
      <w:r>
        <w:rPr>
          <w:rFonts w:cs="Times New Roman" w:ascii="Times New Roman" w:hAnsi="Times New Roman"/>
          <w:i/>
          <w:sz w:val="24"/>
        </w:rPr>
      </w:r>
    </w:p>
    <w:p>
      <w:pPr>
        <w:pStyle w:val="Heading2"/>
        <w:ind w:hanging="0" w:start="0"/>
        <w:rPr>
          <w:rStyle w:val="DefaultParagraphFont"/>
        </w:rPr>
      </w:pPr>
      <w:r>
        <w:rPr/>
      </w:r>
    </w:p>
    <w:p>
      <w:pPr>
        <w:pStyle w:val="Heading2"/>
        <w:ind w:hanging="0" w:start="0"/>
        <w:rPr/>
      </w:pPr>
      <w:r>
        <w:rPr/>
        <w:t>Bid-based LMP Day Ahead Market</w:t>
      </w:r>
    </w:p>
    <w:p>
      <w:pPr>
        <w:pStyle w:val="Normal"/>
        <w:rPr>
          <w:rFonts w:ascii="Times New Roman" w:hAnsi="Times New Roman" w:cs="Times New Roman"/>
          <w:lang w:eastAsia="en-US"/>
        </w:rPr>
      </w:pPr>
      <w:r>
        <w:rPr>
          <w:rFonts w:cs="Times New Roman" w:ascii="Times New Roman" w:hAnsi="Times New Roman"/>
          <w:lang w:eastAsia="en-US"/>
        </w:rPr>
      </w:r>
    </w:p>
    <w:p>
      <w:pPr>
        <w:pStyle w:val="PlainText"/>
        <w:jc w:val="both"/>
        <w:rPr/>
      </w:pPr>
      <w:r>
        <w:rPr>
          <w:rFonts w:cs="Times New Roman" w:ascii="Times New Roman" w:hAnsi="Times New Roman"/>
          <w:sz w:val="24"/>
        </w:rPr>
        <w:t>Joint Commenters believe that it is essential that the RTO (or its designated market operator</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run a day-ahead market in which loads and suppliers are free to transact, and in which the RTO can assure that it has sufficient capacity committed in the right places for the next day in order to supply load reliably, including provision of ancillary services.  The day-ahead market would be voluntary in the sense that parties would be free to submit bilateral schedules or to buy and sell in the day-ahead energy market at day-ahead LMP prices.  To the extent their actual load or generation deviated from the schedules coming out of the day-ahead market, they would be subject to balancing charges based on the LMP prices in the real-time energy market.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Having a day-ahead market has many benefits to all market participants.  The security-constrained unit commitment ensures that there will be sufficient generation capacity on-line, in the correct locations, to serve load reliably during the operating day.  A day-ahead market also allows market participants to lock in their charges based on day-ahead prices, and provides market participants with day-ahead price discovery of congestion.  This is especially critical for increasing load response.  Many loads do not have the capability or may not be able to react to real-time hourly prices, but can take action on a day-ahead basis.</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Thus the day-ahead market is a key to an aspect of market design that everyone agrees is critical – increasing price-sensitive demand.</w:t>
      </w:r>
    </w:p>
    <w:p>
      <w:pPr>
        <w:pStyle w:val="PlainText"/>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Market-based congestion management system</w:t>
      </w:r>
    </w:p>
    <w:p>
      <w:pPr>
        <w:pStyle w:val="Normal"/>
        <w:rPr>
          <w:rFonts w:ascii="Times New Roman" w:hAnsi="Times New Roman" w:cs="Times New Roman"/>
          <w:u w:val="single"/>
          <w:lang w:eastAsia="en-US"/>
        </w:rPr>
      </w:pPr>
      <w:r>
        <w:rPr>
          <w:rFonts w:cs="Times New Roman" w:ascii="Times New Roman" w:hAnsi="Times New Roman"/>
          <w:u w:val="single"/>
          <w:lang w:eastAsia="en-US"/>
        </w:rPr>
      </w:r>
    </w:p>
    <w:p>
      <w:pPr>
        <w:pStyle w:val="PlainText"/>
        <w:jc w:val="both"/>
        <w:rPr>
          <w:rFonts w:ascii="Times New Roman" w:hAnsi="Times New Roman" w:cs="Times New Roman"/>
          <w:sz w:val="24"/>
        </w:rPr>
      </w:pPr>
      <w:r>
        <w:rPr>
          <w:rFonts w:cs="Times New Roman" w:ascii="Times New Roman" w:hAnsi="Times New Roman"/>
          <w:sz w:val="24"/>
        </w:rPr>
        <w:t>Order No. 2000 requires that the RTO must ensure the development and operation of market mechanisms to manage transmission congestion.  The Commission stated that: “markets that are based on locational marginal pricing and financial rights for firm transmission service appear to provide a sound framework for efficient congestion management.”</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LMP minimizes socialization of congestion costs,  sends correct price signals for optimal use of existing generation and transmission resources, and also encourages efficient siting of future generation and appropriate transmission expansion investment.</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This model meets the Commission’s requirements, is in keeping with market-based solutions to solve congestion, and has been shown to be workable.</w:t>
      </w:r>
    </w:p>
    <w:p>
      <w:pPr>
        <w:pStyle w:val="Normal"/>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u w:val="single"/>
        </w:rPr>
      </w:pPr>
      <w:r>
        <w:rPr>
          <w:rFonts w:cs="Times New Roman" w:ascii="Times New Roman" w:hAnsi="Times New Roman"/>
          <w:sz w:val="24"/>
        </w:rPr>
        <w:t>Most industry participants agree that</w:t>
      </w:r>
      <w:r>
        <w:rPr>
          <w:rFonts w:cs="Times New Roman" w:ascii="Times New Roman" w:hAnsi="Times New Roman"/>
          <w:sz w:val="24"/>
          <w:lang w:eastAsia="en-US"/>
        </w:rPr>
        <w:t xml:space="preserve"> the standard RTO market design should include LMP as the platform for congestion management. </w:t>
      </w:r>
      <w:r>
        <w:rPr>
          <w:rFonts w:cs="Times New Roman" w:ascii="Times New Roman" w:hAnsi="Times New Roman"/>
          <w:sz w:val="24"/>
        </w:rPr>
        <w:t xml:space="preserve">In </w:t>
      </w:r>
      <w:r>
        <w:rPr>
          <w:rFonts w:cs="Times New Roman" w:ascii="Times New Roman" w:hAnsi="Times New Roman"/>
          <w:sz w:val="24"/>
          <w:u w:val="single"/>
        </w:rPr>
        <w:t>California Independent System Operator Corporation</w:t>
      </w:r>
      <w:r>
        <w:rPr>
          <w:rFonts w:cs="Times New Roman" w:ascii="Times New Roman" w:hAnsi="Times New Roman"/>
          <w:sz w:val="24"/>
        </w:rPr>
        <w:t>, 90 FERC ¶ 61,006, at 61,___ (2000), the Commission criticized a zonal approach to congestion management because it failed “to send price signals to encourage new generators to enter areas where there are constraints.”</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xml:space="preserve">  Joint Commenters agree. Simply put, LMP has a proven track record of working and zonal systems have a track record of not working. </w:t>
      </w:r>
      <w:r>
        <w:rPr>
          <w:rFonts w:cs="Times New Roman" w:ascii="Times New Roman" w:hAnsi="Times New Roman"/>
          <w:sz w:val="24"/>
        </w:rPr>
        <w:t>If the Commission is to “get it right,” it shoul</w:t>
      </w:r>
      <w:r>
        <w:rPr>
          <w:rFonts w:cs="Times New Roman" w:ascii="Times New Roman" w:hAnsi="Times New Roman"/>
          <w:sz w:val="24"/>
        </w:rPr>
        <w:t xml:space="preserve">d require that RTOs adopt an </w:t>
      </w:r>
      <w:r>
        <w:rPr>
          <w:rFonts w:cs="Times New Roman" w:ascii="Times New Roman" w:hAnsi="Times New Roman"/>
          <w:sz w:val="24"/>
        </w:rPr>
        <w:t xml:space="preserve">LMP </w:t>
      </w:r>
      <w:r>
        <w:rPr>
          <w:rFonts w:cs="Times New Roman" w:ascii="Times New Roman" w:hAnsi="Times New Roman"/>
          <w:sz w:val="24"/>
        </w:rPr>
        <w:t xml:space="preserve">congestion management </w:t>
      </w:r>
      <w:r>
        <w:rPr>
          <w:rFonts w:cs="Times New Roman" w:ascii="Times New Roman" w:hAnsi="Times New Roman"/>
          <w:sz w:val="24"/>
        </w:rPr>
        <w:t>system and end the debate.</w:t>
      </w:r>
      <w:r>
        <w:rPr>
          <w:rFonts w:cs="Times New Roman" w:ascii="Times New Roman" w:hAnsi="Times New Roman"/>
          <w:sz w:val="24"/>
        </w:rPr>
        <w:t xml:space="preserve">  However, </w:t>
      </w:r>
      <w:r>
        <w:rPr>
          <w:rFonts w:cs="Times New Roman" w:ascii="Times New Roman" w:hAnsi="Times New Roman"/>
          <w:sz w:val="24"/>
          <w:lang w:eastAsia="en-US"/>
        </w:rPr>
        <w:t xml:space="preserve">there still remains some question as to whether the LMPs should </w:t>
      </w:r>
      <w:r>
        <w:rPr>
          <w:rFonts w:cs="Times New Roman" w:ascii="Times New Roman" w:hAnsi="Times New Roman"/>
          <w:sz w:val="24"/>
        </w:rPr>
        <w:t xml:space="preserve">be settled on a zonal or a nodal basis for load. </w:t>
      </w:r>
      <w:r>
        <w:rPr>
          <w:rFonts w:cs="Times New Roman" w:ascii="Times New Roman" w:hAnsi="Times New Roman"/>
          <w:sz w:val="24"/>
        </w:rPr>
        <w:t xml:space="preserve">Joint Commenters agree that load may be aggregated into zones for settlement purposes so long as loads retain the choice of settling at nodal prices.  </w:t>
      </w:r>
      <w:r>
        <w:rPr>
          <w:rFonts w:cs="Times New Roman" w:ascii="Times New Roman" w:hAnsi="Times New Roman"/>
          <w:sz w:val="24"/>
          <w:u w:val="single"/>
        </w:rPr>
        <w:t>See</w:t>
      </w:r>
      <w:r>
        <w:rPr>
          <w:rFonts w:cs="Times New Roman" w:ascii="Times New Roman" w:hAnsi="Times New Roman"/>
          <w:sz w:val="24"/>
        </w:rPr>
        <w:t xml:space="preserve"> </w:t>
      </w:r>
      <w:r>
        <w:rPr>
          <w:rFonts w:cs="Times New Roman" w:ascii="Times New Roman" w:hAnsi="Times New Roman"/>
          <w:sz w:val="24"/>
          <w:u w:val="single"/>
        </w:rPr>
        <w:t>ISO New England, Inc.</w:t>
      </w:r>
      <w:r>
        <w:rPr>
          <w:rFonts w:cs="Times New Roman" w:ascii="Times New Roman" w:hAnsi="Times New Roman"/>
          <w:sz w:val="24"/>
        </w:rPr>
        <w:t>, 91 FERC at 61___</w:t>
      </w:r>
      <w:r>
        <w:rPr>
          <w:rFonts w:cs="Times New Roman" w:ascii="Times New Roman" w:hAnsi="Times New Roman"/>
          <w:sz w:val="24"/>
          <w:u w:val="single"/>
        </w:rPr>
        <w:t>.</w:t>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PlainText"/>
        <w:jc w:val="both"/>
        <w:rPr>
          <w:rFonts w:ascii="Times New Roman" w:hAnsi="Times New Roman" w:cs="Times New Roman"/>
          <w:sz w:val="24"/>
          <w:u w:val="single"/>
        </w:rPr>
      </w:pPr>
      <w:r>
        <w:rPr>
          <w:rFonts w:cs="Times New Roman" w:ascii="Times New Roman" w:hAnsi="Times New Roman"/>
          <w:sz w:val="24"/>
        </w:rPr>
        <w:t xml:space="preserve">There is an issue with respect to the timing of implementation for the real-time market and the congestion management system.  Order 2000 requires a balancing market from the inception of operations, whereas the </w:t>
      </w:r>
      <w:r>
        <w:rPr>
          <w:rFonts w:cs="Times New Roman" w:ascii="Times New Roman" w:hAnsi="Times New Roman"/>
          <w:sz w:val="24"/>
        </w:rPr>
        <w:t xml:space="preserve">RTO </w:t>
      </w:r>
      <w:r>
        <w:rPr>
          <w:rFonts w:cs="Times New Roman" w:ascii="Times New Roman" w:hAnsi="Times New Roman"/>
          <w:sz w:val="24"/>
        </w:rPr>
        <w:t xml:space="preserve">has an additional year to </w:t>
      </w:r>
      <w:r>
        <w:rPr>
          <w:rFonts w:cs="Times New Roman" w:ascii="Times New Roman" w:hAnsi="Times New Roman"/>
          <w:sz w:val="24"/>
        </w:rPr>
        <w:t xml:space="preserve">satisfy </w:t>
      </w:r>
      <w:r>
        <w:rPr>
          <w:rFonts w:cs="Times New Roman" w:ascii="Times New Roman" w:hAnsi="Times New Roman"/>
          <w:sz w:val="24"/>
        </w:rPr>
        <w:t>the market-based congestion management</w:t>
      </w:r>
      <w:r>
        <w:rPr>
          <w:rFonts w:cs="Times New Roman" w:ascii="Times New Roman" w:hAnsi="Times New Roman"/>
          <w:sz w:val="24"/>
        </w:rPr>
        <w:t xml:space="preserve"> requirement.  Joint Commenters believe that it is imperative that, at a minimum, the regional real-time balancing market and the regional congestion management system be operated on an integrated basis and go into operation simultaneously.  For a real-time balancing market to work region-wide, it must take into account the effect of</w:t>
      </w:r>
      <w:r>
        <w:rPr>
          <w:rFonts w:cs="Times New Roman" w:ascii="Times New Roman" w:hAnsi="Times New Roman"/>
          <w:sz w:val="24"/>
        </w:rPr>
        <w:t xml:space="preserve"> </w:t>
      </w:r>
      <w:r>
        <w:rPr>
          <w:rFonts w:cs="Times New Roman" w:ascii="Times New Roman" w:hAnsi="Times New Roman"/>
          <w:sz w:val="24"/>
        </w:rPr>
        <w:t>congestion.  Conversely, for a market-based congestion management system to work properly, it must account for the effects of load and generation varying in real-time. Attempting to implement a congestion management system that is not compatible with the regional balancing market leads to  unworkable structures such as two separate bids stacks for balancing and redispatch.  Therefore, Joint Commenters recommend that the Commission require that RTOs implement both the regional real-time balancing market and the market-based congestion management system at the same time, in a consistent manner.</w:t>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Normal"/>
        <w:rPr>
          <w:rFonts w:ascii="Times New Roman" w:hAnsi="Times New Roman" w:cs="Times New Roman"/>
          <w:sz w:val="24"/>
          <w:lang w:eastAsia="en-US"/>
        </w:rPr>
      </w:pPr>
      <w:r>
        <w:rPr>
          <w:rFonts w:cs="Times New Roman" w:ascii="Times New Roman" w:hAnsi="Times New Roman"/>
          <w:sz w:val="24"/>
          <w:lang w:eastAsia="en-US"/>
        </w:rPr>
      </w:r>
    </w:p>
    <w:p>
      <w:pPr>
        <w:pStyle w:val="PlainText"/>
        <w:jc w:val="both"/>
        <w:rPr>
          <w:rFonts w:ascii="Times New Roman" w:hAnsi="Times New Roman" w:cs="Times New Roman"/>
          <w:sz w:val="24"/>
          <w:u w:val="single"/>
        </w:rPr>
      </w:pPr>
      <w:r>
        <w:rPr>
          <w:rFonts w:cs="Times New Roman" w:ascii="Times New Roman" w:hAnsi="Times New Roman"/>
          <w:sz w:val="24"/>
          <w:u w:val="single"/>
        </w:rPr>
        <w:t>Financial Congestion Hedges</w:t>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BodyText"/>
        <w:rPr/>
      </w:pPr>
      <w:r>
        <w:rPr>
          <w:rFonts w:cs="Times New Roman" w:ascii="Times New Roman" w:hAnsi="Times New Roman"/>
          <w:sz w:val="24"/>
        </w:rPr>
        <w:t>Joint Commenters endorse financial rights. The RTO must make financial congestion hedges available to market participants.</w:t>
      </w:r>
      <w:r>
        <w:rPr>
          <w:rStyle w:val="FootnoteCharacters"/>
          <w:rStyle w:val="FootnoteReference"/>
          <w:rFonts w:cs="Times New Roman" w:ascii="Times New Roman" w:hAnsi="Times New Roman"/>
          <w:sz w:val="24"/>
        </w:rPr>
        <w:footnoteReference w:id="8"/>
      </w:r>
      <w:r>
        <w:rPr>
          <w:rFonts w:cs="Times New Roman" w:ascii="Times New Roman" w:hAnsi="Times New Roman"/>
          <w:sz w:val="24"/>
        </w:rPr>
        <w:t xml:space="preserve">  The term financial congestion hedge encompasses both point-to-point and flowgate-based financial rights.</w:t>
      </w:r>
      <w:r>
        <w:rPr>
          <w:rStyle w:val="FootnoteCharacters"/>
          <w:rStyle w:val="FootnoteReference"/>
          <w:rFonts w:cs="Times New Roman" w:ascii="Times New Roman" w:hAnsi="Times New Roman"/>
          <w:sz w:val="24"/>
        </w:rPr>
        <w:footnoteReference w:id="9"/>
      </w:r>
      <w:r>
        <w:rPr>
          <w:rFonts w:cs="Times New Roman" w:ascii="Times New Roman" w:hAnsi="Times New Roman"/>
          <w:sz w:val="24"/>
        </w:rPr>
        <w:t xml:space="preserve">  Joint commenters believe that the RTO should issue financial rights configured as point-to-point rights, as well as financial flowgate rights to the extent feasible.</w:t>
      </w:r>
      <w:r>
        <w:rPr>
          <w:rStyle w:val="FootnoteCharacters"/>
          <w:rStyle w:val="FootnoteReference"/>
          <w:rFonts w:cs="Times New Roman" w:ascii="Times New Roman" w:hAnsi="Times New Roman"/>
          <w:sz w:val="24"/>
        </w:rPr>
        <w:footnoteReference w:id="10"/>
      </w:r>
      <w:r>
        <w:rPr>
          <w:rFonts w:cs="Times New Roman" w:ascii="Times New Roman" w:hAnsi="Times New Roman"/>
          <w:sz w:val="24"/>
        </w:rPr>
        <w:t xml:space="preserve">  These hedges would allow market participants to hedge their delivery costs against congestion on the network.  Having financial rights also would facilitate a liquid and transparent market for these transmission rights out to the horizon of new generation and transmission installation.  </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24"/>
        </w:rPr>
        <w:t xml:space="preserve">Financial congestion hedges help ensure that market participants receive the risk management value of the rights they hold while remaining free to adjust the points of delivery and/or receipt for their schedules or participate in an efficient dispatch irrespective of the rights they hold.  In this way the RTO or the designated market operator is free to arrange an efficient dispatch or redispatch without having to worry about whether the resulting flows match each party’s rights.  This would not be the case, however, if the rights were “physical.” </w:t>
      </w:r>
      <w:r>
        <w:rPr>
          <w:rStyle w:val="FootnoteCharacters"/>
          <w:rStyle w:val="FootnoteReference"/>
          <w:rFonts w:cs="Times New Roman" w:ascii="Times New Roman" w:hAnsi="Times New Roman"/>
          <w:sz w:val="24"/>
        </w:rPr>
        <w:footnoteReference w:id="11"/>
      </w:r>
      <w:r>
        <w:rPr>
          <w:rFonts w:cs="Times New Roman" w:ascii="Times New Roman" w:hAnsi="Times New Roman"/>
          <w:sz w:val="24"/>
        </w:rPr>
        <w:t xml:space="preserve">  Physical rights systems applied to an electricity network thus interfere with an efficient dispatch and efficient congestion management coordinated by an RTO.  They tend to discourage more efficient operations by the RTO, while imposing additional trading costs and risks on the market that are difficult to manage. </w:t>
      </w:r>
    </w:p>
    <w:p>
      <w:pPr>
        <w:pStyle w:val="BodyText"/>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In contrast, financial transmission rights avoid these dilemmas because they are financial instruments that can be acquired and traded independently from the physical dispatch of energy.  Because financial rights do not control physical operations, retaining their value need not compromise efficient physical outcomes nor complicate the physical redispatch required to ensure reliability when the grid is constrained.</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u w:val="single"/>
        </w:rPr>
      </w:pPr>
      <w:r>
        <w:rPr>
          <w:rFonts w:cs="Times New Roman" w:ascii="Times New Roman" w:hAnsi="Times New Roman"/>
          <w:sz w:val="24"/>
          <w:u w:val="single"/>
        </w:rPr>
        <w:t>Capacity or Reserve Requirement</w:t>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BodyText"/>
        <w:rPr/>
      </w:pPr>
      <w:r>
        <w:rPr>
          <w:rFonts w:cs="Times New Roman" w:ascii="Times New Roman" w:hAnsi="Times New Roman"/>
          <w:sz w:val="24"/>
        </w:rPr>
        <w:t>One part of the SMD that has evoked considerable debate is the question of whether there should be a capacity or reserve requirement.  Individual Joint Commenters have filed comments with the Commission in Docket No. EX01-1-000 on this issue.</w:t>
      </w:r>
      <w:r>
        <w:rPr>
          <w:rStyle w:val="FootnoteCharacters"/>
          <w:rStyle w:val="FootnoteReference"/>
          <w:rFonts w:cs="Times New Roman" w:ascii="Times New Roman" w:hAnsi="Times New Roman"/>
          <w:sz w:val="24"/>
        </w:rPr>
        <w:footnoteReference w:id="12"/>
      </w:r>
      <w:r>
        <w:rPr>
          <w:rFonts w:cs="Times New Roman" w:ascii="Times New Roman" w:hAnsi="Times New Roman"/>
          <w:sz w:val="24"/>
        </w:rPr>
        <w:t xml:space="preserve">  For a number of reasons, Joint Commenters support a capacity or reserve requirement as part of the SMD, at least for an interim basis, until there is adequate load response to have a market that fully responds to prices.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In theory, in a competitive generation market there should be no need to impose a reserve requirement in order to assure adequate supply.  Wholesale prices for energy and daily operating reserves will rise as supplies grow scarce, and adequate new capacity will be built in response.  However, in reality, because the demand for electricity is still basically price-inelastic, shortage conditions can lead to extremely high prices.</w:t>
      </w:r>
      <w:r>
        <w:rPr>
          <w:rStyle w:val="FootnoteCharacters"/>
          <w:rStyle w:val="FootnoteReference"/>
          <w:rFonts w:cs="Times New Roman" w:ascii="Times New Roman" w:hAnsi="Times New Roman"/>
          <w:sz w:val="24"/>
        </w:rPr>
        <w:footnoteReference w:id="13"/>
      </w:r>
      <w:r>
        <w:rPr>
          <w:rFonts w:cs="Times New Roman" w:ascii="Times New Roman" w:hAnsi="Times New Roman"/>
          <w:sz w:val="24"/>
        </w:rPr>
        <w:t xml:space="preserve"> Regulators and the public are not ready to accept unfettered price increases during times of shortage, at least while demand remains relatively unresponsive to prices. Thus prices have tended to be capped during times of shortage.</w:t>
      </w:r>
      <w:r>
        <w:rPr>
          <w:rStyle w:val="FootnoteCharacters"/>
          <w:rStyle w:val="FootnoteReference"/>
          <w:rFonts w:cs="Times New Roman" w:ascii="Times New Roman" w:hAnsi="Times New Roman"/>
          <w:sz w:val="24"/>
        </w:rPr>
        <w:footnoteReference w:id="14"/>
      </w:r>
      <w:r>
        <w:rPr>
          <w:rFonts w:cs="Times New Roman" w:ascii="Times New Roman" w:hAnsi="Times New Roman"/>
          <w:sz w:val="24"/>
        </w:rPr>
        <w:t xml:space="preserve"> And this has implications for ensuring adequacy of supply, as more and more market participants have come to expect the Commission to impose price/bid caps in markets that have significant price pressures.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 xml:space="preserve">If prices or bids are capped during periods of scarcity, then energy prices alone simply may not be sufficient to incent the building of new capacity, especially peaking capacity that must recover all its costs during a relatively few hours of operation.  Thus an additional revenue source must be provided to ensure that adequate capacity will be built.  Establishing a capacity or reserve requirement may be an appropriate way to accomplish this. </w:t>
      </w:r>
      <w:r>
        <w:rPr>
          <w:rStyle w:val="FootnoteCharacters"/>
          <w:rStyle w:val="FootnoteReference"/>
          <w:rFonts w:cs="Times New Roman" w:ascii="Times New Roman" w:hAnsi="Times New Roman"/>
          <w:sz w:val="24"/>
        </w:rPr>
        <w:footnoteReference w:id="15"/>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 xml:space="preserve">A capacity requirement also ensures a level playing field in RTOs that include states with retail choice.  All loads, including those served by competitive suppliers and those served by incumbent utilities, are subject to the same capacity requirement. </w:t>
      </w:r>
    </w:p>
    <w:p>
      <w:pPr>
        <w:pStyle w:val="BodyText"/>
        <w:rPr>
          <w:rFonts w:ascii="Times New Roman" w:hAnsi="Times New Roman" w:cs="Times New Roman"/>
          <w:sz w:val="24"/>
        </w:rPr>
      </w:pPr>
      <w:r>
        <w:rPr>
          <w:rFonts w:cs="Times New Roman" w:ascii="Times New Roman" w:hAnsi="Times New Roman"/>
          <w:sz w:val="24"/>
        </w:rPr>
      </w:r>
    </w:p>
    <w:p>
      <w:pPr>
        <w:pStyle w:val="BodyText"/>
        <w:numPr>
          <w:ilvl w:val="0"/>
          <w:numId w:val="0"/>
        </w:numPr>
        <w:tabs>
          <w:tab w:val="clear" w:pos="720"/>
          <w:tab w:val="left" w:pos="480" w:leader="none"/>
        </w:tabs>
        <w:ind w:hanging="360" w:start="480" w:end="0"/>
        <w:rPr/>
      </w:pPr>
      <w:r>
        <w:rPr>
          <w:rFonts w:cs="Times New Roman" w:ascii="Times New Roman" w:hAnsi="Times New Roman"/>
          <w:sz w:val="24"/>
        </w:rPr>
        <w:t>While Joint Commenters support, at least for an interim period, capacity or reserve requirements for an RTO as part of a SMD, Joint Commenters believe that additional work needs to be done to establish the manner in which such a requirement should be implemented.  Joint Commenters are well aware of the criticisms of the ICAP markets in certain ISOs and believe that the Commission should review all the alternatives before deciding on a model.</w:t>
      </w:r>
      <w:r>
        <w:rPr>
          <w:rStyle w:val="FootnoteCharacters"/>
          <w:rStyle w:val="FootnoteReference"/>
          <w:rFonts w:cs="Times New Roman" w:ascii="Times New Roman" w:hAnsi="Times New Roman"/>
          <w:sz w:val="24"/>
        </w:rPr>
        <w:footnoteReference w:id="16"/>
      </w:r>
      <w:r>
        <w:rPr>
          <w:rFonts w:cs="Times New Roman" w:ascii="Times New Roman" w:hAnsi="Times New Roman"/>
          <w:sz w:val="24"/>
        </w:rPr>
        <w:t xml:space="preserve">  </w:t>
      </w:r>
    </w:p>
    <w:p>
      <w:pPr>
        <w:pStyle w:val="BodyText"/>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Grid Expansion Should be Done on a Market Driven Basis</w:t>
      </w:r>
    </w:p>
    <w:p>
      <w:pPr>
        <w:pStyle w:val="Normal"/>
        <w:rPr>
          <w:u w:val="single"/>
        </w:rPr>
      </w:pPr>
      <w:r>
        <w:rPr>
          <w:u w:val="single"/>
        </w:rPr>
      </w:r>
    </w:p>
    <w:p>
      <w:pPr>
        <w:pStyle w:val="Normal"/>
        <w:rPr>
          <w:rFonts w:ascii="Times New Roman" w:hAnsi="Times New Roman" w:cs="Times New Roman"/>
        </w:rPr>
      </w:pPr>
      <w:r>
        <w:rPr>
          <w:rFonts w:cs="Times New Roman" w:ascii="Times New Roman" w:hAnsi="Times New Roman"/>
        </w:rPr>
        <w:t>Economic expansion of the transmission grid is essential to an efficient wholesale power market.  However, in many cases, new generation and/or load management are alternatives to grid expansion.  The economic solution will sometimes include transmission expansion, and sometimes not.  Therefore, it is important, to the extent practicable, for transmission expansion to compete fairly with these alternatives.  Rolled in rate treatment of discretionary transmission expansion, where the costs of new expansion are recovered through network service charges, is not the best way to meet this objective.   However elaborate the transmission planning process, this is not a level playing field, and may not be perceived as such.  In addition, rolled in pricing of expansion may result in a poor matching of costs and benefits, and could undermine the price signals for economic siting of new generation.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better approach is to rely on market-driven expansion to the maximum feasible extent.  Under the SMD described above with LMP and financial transmission rights, incremental pricing of transmission expansion, in a manner consistent with the Commission’s policy with respect to natural gas pipeline expansion, is preferable.  This would represent fair competition with generation and load management, would properly align costs and benefits, and would reinforce, rather than undermine, the locational price signals for economic siting of new generation.  Expansion on a rolled in basis must be available as a backstop in those circumstances where incremental pricing is not feasible, but incremental pricing of transmission expansion should be the preferred course.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u w:val="single"/>
        </w:rPr>
        <w:t>Other Issues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Joint Commenters believe that if RTOs are going to facilitate robust wholesale markets, then an SMD is essential.  In Order No. 2000, the Commission specified that an RTO must be responsible for certain market functions.  Joint Commenters have provided a  description of the market attributes that they believe are required in order to fulfill the mandate of Order No. 2000 and assure enhanced competition, greater transparency, and efficiency in wholesale electric power markets.  Joint Commenters believe that the Commission should now explicitly require the market attributes discussed above.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The question of a SMD is complex.  Joint Commenters have presented the minimum attributes of a SMD.  Having these attributes in place will go a long way toward facilitating competitive markets.  Obviously, there are other factors that may influence the ability of markets to be competitive, such as localized market power that exists because there are strong barriers to entry in certain isolated portions of an RTO that cannot be removed easily.  Obviously RTOs need to deal with such issues.  Joint Commenters believe that an SMD can accommodate the necessary mitigation measures and that the Market Monitoring Unit can ensure that such issues are resolved.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In addition Joint Commenters believe that a standardized tariff is necessary to make markets work.  One example is scheduling deadlines.  If different RTOs can specify different times when schedules must be submitted, inter-RTO transactions will be more difficult.  Joint Commenters may be submitting separate comments on these other critical elements.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Just as important as specifying a SMD is putting a deadline on debate.  Order No. 2000 was issued at the end of 1999 and embryonic RTOs have been working since that date toward becoming operational.  The market design that these RTOs implement is critical to realizing the benefits of RTOs.  The Commission cannot allow the perfect to be the enemy of the good.  After several years of operations of four ISOs with their own market structures, the Commission has a good idea of what works and what does not.  There simply is not time to try unproven methods when a good workable system is available.  It is time to get the market design “out the door.”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To this end, Joint Commenters suggest that the Commission facilitate a six-month collaborative starting with the market attributes that are discussed in these comments.</w:t>
      </w:r>
      <w:r>
        <w:rPr>
          <w:rStyle w:val="FootnoteCharacters"/>
          <w:rStyle w:val="FootnoteReference"/>
          <w:rFonts w:cs="Times New Roman" w:ascii="Times New Roman" w:hAnsi="Times New Roman"/>
          <w:sz w:val="24"/>
        </w:rPr>
        <w:footnoteReference w:id="17"/>
      </w:r>
      <w:r>
        <w:rPr>
          <w:rFonts w:cs="Times New Roman" w:ascii="Times New Roman" w:hAnsi="Times New Roman"/>
          <w:sz w:val="24"/>
        </w:rPr>
        <w:t xml:space="preserve">  All market participants would be invited to participate.  The end result would be a more detailed consensus market design that incorporates best practices to the extent feasible.  The Commission would then request comments on the SMD with the intent of directing RTOs to implement the SMD as soon as practicable.  Joint Commenters also understand that no initial design will be perfect.  Therefore Joint Commenters recommend that the Commission review all the elements of the SMD after 18 months of operation to determine if it is adequately facilitating robust markets for energy and transmission.  To the extent the SMD has not fully met those objectives, the Commission should look to modify the SMD to correct flaws which prevent robust markets from developing.  This review also would allow the Commission to determine the continued necessity for a capacity/reserve requirement.</w:t>
      </w:r>
    </w:p>
    <w:p>
      <w:pPr>
        <w:pStyle w:val="PlainText"/>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lang w:eastAsia="en-US"/>
        </w:rPr>
        <w:t>Pricing to loads may be done on the basis of a zonal average of nodal LMPs, with the definition of zones left up to the needs of particular RTOs.</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The “Staff Summary of Discussions” from RTO Week notes that a couple of speakers suggested that the RTO could contract out the DA market.  Joint Commenters believe that it may be feasible to designate a independent market operator for the DA and RT markets.  However, the entity must have complete access to all grid information and to all bids and schedules that have been submitted.  It must have the ability to commit generation and, based on bids,  redispatch</w:t>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An example is a manufacturer that needs to set up a shift.  Once the personnel and materials are on site, it may not be economical to reduce load.  It is feasible, however, to make such a decision on a day-ahead basis.</w:t>
      </w:r>
    </w:p>
  </w:footnote>
  <w:footnote w:id="5">
    <w:p>
      <w:pPr>
        <w:pStyle w:val="PlainText"/>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Order No. 2000, 89 FERC ¶ 61,285 (1999), mimeo at 382.  </w:t>
      </w:r>
      <w:r>
        <w:rPr>
          <w:rFonts w:cs="Times New Roman" w:ascii="Times New Roman" w:hAnsi="Times New Roman"/>
          <w:b/>
        </w:rPr>
        <w:t>[Replace with full cite]</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See</w:t>
      </w:r>
      <w:r>
        <w:rPr>
          <w:rFonts w:cs="Times New Roman" w:ascii="Times New Roman" w:hAnsi="Times New Roman"/>
        </w:rPr>
        <w:t xml:space="preserve"> </w:t>
      </w:r>
      <w:r>
        <w:rPr>
          <w:rFonts w:cs="Times New Roman" w:ascii="Times New Roman" w:hAnsi="Times New Roman"/>
          <w:u w:val="single"/>
        </w:rPr>
        <w:t>ISO New England, Inc.</w:t>
      </w:r>
      <w:r>
        <w:rPr>
          <w:rFonts w:cs="Times New Roman" w:ascii="Times New Roman" w:hAnsi="Times New Roman"/>
        </w:rPr>
        <w:t>, 91 FERC ¶ 61,311, at 61,___ (2000).</w:t>
      </w:r>
    </w:p>
  </w:footnote>
  <w:footnote w:id="7">
    <w:p>
      <w:pPr>
        <w:pStyle w:val="Normal"/>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u w:val="single"/>
        </w:rPr>
        <w:t>See</w:t>
      </w:r>
      <w:r>
        <w:rPr>
          <w:rFonts w:cs="Times New Roman" w:ascii="Times New Roman" w:hAnsi="Times New Roman"/>
          <w:sz w:val="20"/>
        </w:rPr>
        <w:t xml:space="preserve"> </w:t>
      </w:r>
      <w:r>
        <w:rPr>
          <w:rFonts w:cs="Times New Roman" w:ascii="Times New Roman" w:hAnsi="Times New Roman"/>
          <w:sz w:val="20"/>
          <w:u w:val="single"/>
        </w:rPr>
        <w:t>also</w:t>
      </w:r>
      <w:r>
        <w:rPr>
          <w:rFonts w:cs="Times New Roman" w:ascii="Times New Roman" w:hAnsi="Times New Roman"/>
          <w:sz w:val="20"/>
        </w:rPr>
        <w:t xml:space="preserve"> </w:t>
      </w:r>
      <w:r>
        <w:rPr>
          <w:rFonts w:cs="Times New Roman" w:ascii="Times New Roman" w:hAnsi="Times New Roman"/>
          <w:sz w:val="20"/>
          <w:lang w:eastAsia="en-US"/>
        </w:rPr>
        <w:t>Scott M. Harvey and William W. Hogan,</w:t>
      </w:r>
      <w:r>
        <w:rPr>
          <w:rFonts w:cs="Times New Roman" w:ascii="Times New Roman" w:hAnsi="Times New Roman"/>
          <w:sz w:val="20"/>
        </w:rPr>
        <w:t xml:space="preserve"> “</w:t>
      </w:r>
      <w:r>
        <w:rPr>
          <w:rFonts w:cs="Times New Roman" w:ascii="Times New Roman" w:hAnsi="Times New Roman"/>
          <w:sz w:val="20"/>
          <w:lang w:eastAsia="en-US"/>
        </w:rPr>
        <w:t>Nodal and Zonal Congestion Management and the Exercise of Market Power” (Jan. 10, 2000).</w:t>
      </w:r>
    </w:p>
  </w:footnote>
  <w:footnote w:id="8">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Joint Commenters understand that an important issue is how the RTO distributes the financial congestion rights – whether by allocation and/or auction.  The distribution of such rights is one issue that the Commission must decide as part of the SMD.</w:t>
      </w:r>
    </w:p>
  </w:footnote>
  <w:footnote w:id="9">
    <w:p>
      <w:pPr>
        <w:pStyle w:val="FootnoteText"/>
        <w:rPr/>
      </w:pPr>
      <w:r>
        <w:rPr>
          <w:rStyle w:val="FootnoteCharacters"/>
        </w:rPr>
        <w:footnoteRef/>
      </w:r>
      <w:r>
        <w:rPr/>
        <w:t xml:space="preserve"> </w:t>
      </w:r>
      <w:r>
        <w:rPr>
          <w:rFonts w:cs="Times New Roman" w:ascii="Times New Roman" w:hAnsi="Times New Roman"/>
        </w:rPr>
        <w:t>As was made clear at the RTO Workshops, the rights must be defined so as to provide a financial hedge, they must avoid socialization of actual congestion costs, and they must be simultaneously feasible.</w:t>
      </w:r>
    </w:p>
  </w:footnote>
  <w:footnote w:id="10">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Financial flowgate rights do not confer any physical priority.  They are a hedge for congestion charges across a flowgate rather than between two points. </w:t>
      </w:r>
    </w:p>
  </w:footnote>
  <w:footnote w:id="11">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If the rights were “physical,” market participants would need to acquire rights matching their expected transactions as a condition for gaining grid access.  If they changed the points of receipt or delivery for their expected transactions, they would have to exchange the rights they held for others that matched their revised schedules.  If they were unsuccessful, they would be excluded from the grid and/or risk losing the value of any rights that no longer matched their expected transactions.</w:t>
      </w:r>
    </w:p>
  </w:footnote>
  <w:footnote w:id="1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See</w:t>
      </w:r>
      <w:r>
        <w:rPr>
          <w:rFonts w:cs="Times New Roman" w:ascii="Times New Roman" w:hAnsi="Times New Roman"/>
        </w:rPr>
        <w:t xml:space="preserve"> Comments Submitted for Exelon Corporation; Comments of ___________.</w:t>
      </w:r>
    </w:p>
  </w:footnote>
  <w:footnote w:id="1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See</w:t>
      </w:r>
      <w:r>
        <w:rPr>
          <w:rFonts w:cs="Times New Roman" w:ascii="Times New Roman" w:hAnsi="Times New Roman"/>
        </w:rPr>
        <w:t xml:space="preserve"> </w:t>
      </w:r>
      <w:r>
        <w:rPr>
          <w:rFonts w:cs="Times New Roman" w:ascii="Times New Roman" w:hAnsi="Times New Roman"/>
          <w:u w:val="single"/>
        </w:rPr>
        <w:t>New York Independent System Operator, Inc.</w:t>
      </w:r>
      <w:r>
        <w:rPr>
          <w:rFonts w:cs="Times New Roman" w:ascii="Times New Roman" w:hAnsi="Times New Roman"/>
        </w:rPr>
        <w:t>, 97 FERC ¶ 61,095, mimeo at 10 (Oct. 25, 2001)(“if load cannot respond to dramatic increases in prices, then generators can submit very high bids that NYISO must accept when supplies are tight during peak periods, and price spikes can be magnified”).</w:t>
      </w:r>
    </w:p>
  </w:footnote>
  <w:footnote w:id="1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Some ISOs, such as PJM, included bid caps in their market structure from the start (with the Commission’s approval, of course.)  Others, such as New York and New England, put caps in place after they began operations.  In California, the caps were imposed by the Commission itself after price volatility became a problem.</w:t>
      </w:r>
    </w:p>
  </w:footnote>
  <w:footnote w:id="15">
    <w:p>
      <w:pPr>
        <w:pStyle w:val="FootnoteText"/>
        <w:rPr/>
      </w:pPr>
      <w:r>
        <w:rPr>
          <w:rStyle w:val="FootnoteCharacters"/>
        </w:rPr>
        <w:footnoteRef/>
      </w:r>
      <w:r>
        <w:rPr/>
        <w:t xml:space="preserve"> </w:t>
      </w:r>
      <w:r>
        <w:rPr>
          <w:rFonts w:cs="Times New Roman" w:ascii="Times New Roman" w:hAnsi="Times New Roman"/>
          <w:sz w:val="20"/>
        </w:rPr>
        <w:t>It is instructive to note that the ISOs that proposed bid caps on their own, PJM, New York and New England</w:t>
      </w:r>
      <w:r>
        <w:rPr>
          <w:rFonts w:cs="Times New Roman" w:ascii="Times New Roman" w:hAnsi="Times New Roman"/>
          <w:i/>
          <w:sz w:val="20"/>
        </w:rPr>
        <w:t xml:space="preserve"> </w:t>
      </w:r>
      <w:r>
        <w:rPr>
          <w:rFonts w:cs="Times New Roman" w:ascii="Times New Roman" w:hAnsi="Times New Roman"/>
          <w:sz w:val="20"/>
        </w:rPr>
        <w:t>also had installed reserve requirements from their inception.</w:t>
      </w:r>
    </w:p>
  </w:footnote>
  <w:footnote w:id="1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See</w:t>
      </w:r>
      <w:r>
        <w:rPr>
          <w:rFonts w:cs="Times New Roman" w:ascii="Times New Roman" w:hAnsi="Times New Roman"/>
        </w:rPr>
        <w:t xml:space="preserve"> </w:t>
      </w:r>
      <w:r>
        <w:rPr>
          <w:rFonts w:cs="Times New Roman" w:ascii="Times New Roman" w:hAnsi="Times New Roman"/>
          <w:u w:val="single"/>
        </w:rPr>
        <w:t>Order on Proposed ICAP Deficiency Charge</w:t>
      </w:r>
      <w:r>
        <w:rPr>
          <w:rFonts w:cs="Times New Roman" w:ascii="Times New Roman" w:hAnsi="Times New Roman"/>
        </w:rPr>
        <w:t>, 96 FERC ¶ 61,234, at 61,942-43 (2001)(“We will also direct ISO-NE to file, on or before December 3, 2001, a compliance report in this proceeding regarding alternatives to the icap requirement, particularly the feasibility of a program of acquiring forward reserves and using demand side mechanisms to meet ISO-NE’s reserve capacity needs.”)</w:t>
      </w:r>
    </w:p>
  </w:footnote>
  <w:footnote w:id="17">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As stated earlier, Joint Commenters recognize the questions raised about a capacity requirement and believe that resolution of the capacity/reserve issue would be one major issue for the collaborative effort.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rPr>
      <w:t>DRAFT</w:t>
    </w:r>
  </w:p>
  <w:p>
    <w:pPr>
      <w:pStyle w:val="Header"/>
      <w:jc w:val="center"/>
      <w:rPr>
        <w:rFonts w:ascii="Times New Roman" w:hAnsi="Times New Roman" w:cs="Times New Roman"/>
      </w:rPr>
    </w:pPr>
    <w:r>
      <w:rPr>
        <w:rFonts w:cs="Times New Roman" w:ascii="Times New Roman" w:hAnsi="Times New Roman"/>
      </w:rPr>
      <w:t>102901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s>
      <w:outlineLvl w:val="0"/>
    </w:pPr>
    <w:rPr>
      <w:rFonts w:ascii="Times New Roman" w:hAnsi="Times New Roman" w:cs="Times New Roman"/>
      <w:color w:val="000000"/>
      <w:u w:val="single"/>
      <w:lang w:eastAsia="en-US"/>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u w:val="single"/>
      <w:lang w:eastAsia="en-US"/>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rFonts w:ascii="Times New Roman" w:hAnsi="Times New Roman" w:cs="Times New Roman"/>
      <w:color w:val="000000"/>
      <w:lang w:eastAsia="en-US"/>
    </w:rPr>
  </w:style>
  <w:style w:type="paragraph" w:styleId="BodyTextIndent2">
    <w:name w:val="Body Text Indent 2"/>
    <w:basedOn w:val="Normal"/>
    <w:qFormat/>
    <w:pPr>
      <w:ind w:hanging="0" w:start="720" w:end="0"/>
    </w:pPr>
    <w:rPr>
      <w:rFonts w:ascii="Times New Roman" w:hAnsi="Times New Roman" w:cs="Times New Roman"/>
      <w:color w:val="000000"/>
      <w:lang w:eastAsia="en-US"/>
    </w:rPr>
  </w:style>
  <w:style w:type="paragraph" w:styleId="BlockText">
    <w:name w:val="Block Text"/>
    <w:basedOn w:val="Normal"/>
    <w:qFormat/>
    <w:pPr>
      <w:ind w:hanging="360" w:start="1080" w:end="720"/>
    </w:pPr>
    <w:rPr>
      <w:rFonts w:ascii="Times New Roman" w:hAnsi="Times New Roman" w:cs="Times New Roman"/>
    </w:rPr>
  </w:style>
  <w:style w:type="paragraph" w:styleId="FootnoteText">
    <w:name w:val="footnote text"/>
    <w:basedOn w:val="Normal"/>
    <w:pPr/>
    <w:rPr>
      <w:sz w:val="20"/>
    </w:rPr>
  </w:style>
  <w:style w:type="paragraph" w:styleId="PlainText">
    <w:name w:val="Plain Text"/>
    <w:basedOn w:val="Normal"/>
    <w:qFormat/>
    <w:pPr>
      <w:jc w:val="star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2001-10-30T18:28:00Z</dcterms:created>
  <dc:creator/>
  <dc:description/>
  <dc:language>en-CA</dc:language>
  <cp:lastModifiedBy>Steven T. Naumann</cp:lastModifiedBy>
  <cp:lastPrinted>2001-10-30T14:57:00Z</cp:lastPrinted>
  <dcterms:modified xsi:type="dcterms:W3CDTF">2001-10-30T19:14:00Z</dcterms:modified>
  <cp:revision>17</cp:revision>
  <dc:subject/>
  <dc:title>UNITED STATES OF AMERICA</dc:title>
</cp:coreProperties>
</file>