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Feb. 26, 2001:</w:t>
      </w:r>
      <w:r>
        <w:rPr>
          <w:rFonts w:cs="Arial" w:ascii="Arial" w:hAnsi="Arial"/>
          <w:sz w:val="28"/>
        </w:rPr>
        <w:t xml:space="preserve"> </w:t>
      </w:r>
      <w:r>
        <w:rPr>
          <w:rFonts w:cs="Arial" w:ascii="Arial" w:hAnsi="Arial"/>
          <w:sz w:val="32"/>
        </w:rPr>
        <w:t xml:space="preserve">$34.00      </w:t>
      </w:r>
    </w:p>
    <w:p>
      <w:pPr>
        <w:pStyle w:val="BodyText2"/>
        <w:rPr>
          <w:rFonts w:ascii="Arial" w:hAnsi="Arial" w:cs="Arial"/>
        </w:rPr>
      </w:pPr>
      <w:r>
        <w:rPr>
          <w:rFonts w:cs="Arial" w:ascii="Arial" w:hAnsi="Arial"/>
        </w:rPr>
        <w:t>HOUSTON —The TradersNews ComEd index for the 16-hour average of trades for Feb. 26 on-peak hours is $34.00, $12.46 below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02/26/01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39.50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31.75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28.50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36.25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34.00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800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Feb. 26, there were trades reported for each peak hour.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2001-02-27T13:35:00Z</dcterms:created>
  <dc:creator>Bobette Riner</dc:creator>
  <dc:description/>
  <dc:language>en-CA</dc:language>
  <cp:lastModifiedBy>Greg Baber</cp:lastModifiedBy>
  <cp:lastPrinted>2001-02-26T10:38:00Z</cp:lastPrinted>
  <dcterms:modified xsi:type="dcterms:W3CDTF">2001-02-27T13:38:00Z</dcterms:modified>
  <cp:revision>3</cp:revision>
  <dc:subject/>
  <dc:title>Cinergy Index:  Sept. 12 On-Peak Hourly Trades Average $38.45</dc:title>
</cp:coreProperties>
</file>