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6120" w:leader="none"/>
          <w:tab w:val="right" w:pos="9360" w:leader="none"/>
        </w:tabs>
        <w:rPr>
          <w:sz w:val="22"/>
          <w:szCs w:val="22"/>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Normal"/>
        <w:widowControl/>
        <w:jc w:val="center"/>
        <w:rPr>
          <w:b/>
          <w:bCs/>
          <w:sz w:val="22"/>
          <w:szCs w:val="22"/>
        </w:rPr>
      </w:pPr>
      <w:r>
        <w:rPr>
          <w:b/>
          <w:bCs/>
          <w:sz w:val="22"/>
          <w:szCs w:val="22"/>
        </w:rPr>
      </w:r>
    </w:p>
    <w:tbl>
      <w:tblPr>
        <w:tblW w:w="8910" w:type="dxa"/>
        <w:jc w:val="start"/>
        <w:tblInd w:w="108" w:type="dxa"/>
        <w:tblLayout w:type="fixed"/>
        <w:tblCellMar>
          <w:top w:w="0" w:type="dxa"/>
          <w:start w:w="108" w:type="dxa"/>
          <w:bottom w:w="0" w:type="dxa"/>
          <w:end w:w="108" w:type="dxa"/>
        </w:tblCellMar>
      </w:tblPr>
      <w:tblGrid>
        <w:gridCol w:w="1440"/>
        <w:gridCol w:w="3330"/>
        <w:gridCol w:w="1232"/>
        <w:gridCol w:w="307"/>
        <w:gridCol w:w="514"/>
        <w:gridCol w:w="2087"/>
      </w:tblGrid>
      <w:tr>
        <w:trPr>
          <w:trHeight w:val="315" w:hRule="atLeast"/>
        </w:trPr>
        <w:tc>
          <w:tcPr>
            <w:tcW w:w="1440" w:type="dxa"/>
            <w:tcBorders/>
          </w:tcPr>
          <w:p>
            <w:pPr>
              <w:pStyle w:val="Normal"/>
              <w:widowControl/>
              <w:ind w:start="-108" w:end="0"/>
              <w:rPr>
                <w:b/>
                <w:bCs/>
                <w:sz w:val="22"/>
                <w:szCs w:val="22"/>
              </w:rPr>
            </w:pPr>
            <w:r>
              <w:rPr>
                <w:b/>
                <w:bCs/>
                <w:sz w:val="22"/>
                <w:szCs w:val="22"/>
              </w:rPr>
              <w:t>To:</w:t>
            </w:r>
          </w:p>
        </w:tc>
        <w:tc>
          <w:tcPr>
            <w:tcW w:w="3330" w:type="dxa"/>
            <w:tcBorders/>
          </w:tcPr>
          <w:p>
            <w:pPr>
              <w:pStyle w:val="To"/>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Distribution</w:t>
            </w:r>
          </w:p>
        </w:tc>
        <w:tc>
          <w:tcPr>
            <w:tcW w:w="2053" w:type="dxa"/>
            <w:gridSpan w:val="3"/>
            <w:tcBorders/>
          </w:tcPr>
          <w:p>
            <w:pPr>
              <w:pStyle w:val="Normal"/>
              <w:widowControl/>
              <w:snapToGrid w:val="false"/>
              <w:ind w:start="72" w:end="0"/>
              <w:rPr>
                <w:rFonts w:ascii="Times New Roman" w:hAnsi="Times New Roman" w:eastAsia="Times New Roman" w:cs="Times New Roman"/>
                <w:sz w:val="22"/>
                <w:szCs w:val="22"/>
              </w:rPr>
            </w:pPr>
            <w:r>
              <w:rPr>
                <w:rFonts w:eastAsia="Times New Roman" w:cs="Times New Roman"/>
                <w:sz w:val="22"/>
                <w:szCs w:val="22"/>
              </w:rPr>
            </w:r>
          </w:p>
        </w:tc>
        <w:tc>
          <w:tcPr>
            <w:tcW w:w="2087" w:type="dxa"/>
            <w:tcBorders/>
          </w:tcPr>
          <w:p>
            <w:pPr>
              <w:pStyle w:val="Normal"/>
              <w:widowControl/>
              <w:snapToGrid w:val="false"/>
              <w:rPr>
                <w:b/>
                <w:bCs/>
                <w:sz w:val="22"/>
                <w:szCs w:val="22"/>
              </w:rPr>
            </w:pPr>
            <w:r>
              <w:rPr>
                <w:b/>
                <w:bCs/>
                <w:sz w:val="22"/>
                <w:szCs w:val="22"/>
              </w:rPr>
            </w:r>
          </w:p>
        </w:tc>
      </w:tr>
      <w:tr>
        <w:trPr>
          <w:trHeight w:val="269" w:hRule="exact"/>
        </w:trPr>
        <w:tc>
          <w:tcPr>
            <w:tcW w:w="1440" w:type="dxa"/>
            <w:tcBorders/>
          </w:tcPr>
          <w:p>
            <w:pPr>
              <w:pStyle w:val="Normal"/>
              <w:widowControl/>
              <w:snapToGrid w:val="false"/>
              <w:ind w:start="-108" w:end="0"/>
              <w:rPr>
                <w:b/>
                <w:bCs/>
                <w:sz w:val="22"/>
                <w:szCs w:val="22"/>
              </w:rPr>
            </w:pPr>
            <w:r>
              <w:rPr>
                <w:b/>
                <w:bCs/>
                <w:sz w:val="22"/>
                <w:szCs w:val="22"/>
              </w:rPr>
            </w:r>
          </w:p>
        </w:tc>
        <w:tc>
          <w:tcPr>
            <w:tcW w:w="3330" w:type="dxa"/>
            <w:tcBorders/>
          </w:tcPr>
          <w:p>
            <w:pPr>
              <w:pStyle w:val="Normal"/>
              <w:widowControl/>
              <w:snapToGrid w:val="false"/>
              <w:rPr>
                <w:b/>
                <w:bCs/>
                <w:sz w:val="22"/>
                <w:szCs w:val="22"/>
              </w:rPr>
            </w:pPr>
            <w:r>
              <w:rPr>
                <w:b/>
                <w:bCs/>
                <w:sz w:val="22"/>
                <w:szCs w:val="22"/>
              </w:rPr>
            </w:r>
          </w:p>
        </w:tc>
        <w:tc>
          <w:tcPr>
            <w:tcW w:w="2053" w:type="dxa"/>
            <w:gridSpan w:val="3"/>
            <w:tcBorders/>
          </w:tcPr>
          <w:p>
            <w:pPr>
              <w:pStyle w:val="Normal"/>
              <w:widowControl/>
              <w:snapToGrid w:val="false"/>
              <w:ind w:start="-180" w:end="0"/>
              <w:rPr>
                <w:b/>
                <w:bCs/>
                <w:sz w:val="22"/>
                <w:szCs w:val="22"/>
              </w:rPr>
            </w:pPr>
            <w:r>
              <w:rPr>
                <w:b/>
                <w:bCs/>
                <w:sz w:val="22"/>
                <w:szCs w:val="22"/>
              </w:rPr>
            </w:r>
          </w:p>
        </w:tc>
        <w:tc>
          <w:tcPr>
            <w:tcW w:w="2087" w:type="dxa"/>
            <w:tcBorders/>
          </w:tcPr>
          <w:p>
            <w:pPr>
              <w:pStyle w:val="Normal"/>
              <w:widowControl/>
              <w:snapToGrid w:val="false"/>
              <w:rPr>
                <w:b/>
                <w:bCs/>
                <w:sz w:val="22"/>
                <w:szCs w:val="22"/>
              </w:rPr>
            </w:pPr>
            <w:r>
              <w:rPr>
                <w:b/>
                <w:bCs/>
                <w:sz w:val="22"/>
                <w:szCs w:val="22"/>
              </w:rPr>
            </w:r>
          </w:p>
        </w:tc>
      </w:tr>
      <w:tr>
        <w:trPr>
          <w:trHeight w:val="300" w:hRule="exact"/>
        </w:trPr>
        <w:tc>
          <w:tcPr>
            <w:tcW w:w="1440" w:type="dxa"/>
            <w:tcBorders/>
          </w:tcPr>
          <w:p>
            <w:pPr>
              <w:pStyle w:val="Normal"/>
              <w:widowControl/>
              <w:ind w:start="-108" w:end="0"/>
              <w:rPr>
                <w:b/>
                <w:bCs/>
                <w:sz w:val="22"/>
                <w:szCs w:val="22"/>
              </w:rPr>
            </w:pPr>
            <w:r>
              <w:rPr>
                <w:b/>
                <w:bCs/>
                <w:sz w:val="22"/>
                <w:szCs w:val="22"/>
              </w:rPr>
              <w:t>From:</w:t>
            </w:r>
          </w:p>
        </w:tc>
        <w:tc>
          <w:tcPr>
            <w:tcW w:w="3330" w:type="dxa"/>
            <w:tcBorders/>
          </w:tcPr>
          <w:p>
            <w:pPr>
              <w:pStyle w:val="From"/>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Shelley Corman</w:t>
            </w:r>
          </w:p>
        </w:tc>
        <w:tc>
          <w:tcPr>
            <w:tcW w:w="1539" w:type="dxa"/>
            <w:gridSpan w:val="2"/>
            <w:tcBorders/>
          </w:tcPr>
          <w:p>
            <w:pPr>
              <w:pStyle w:val="Normal"/>
              <w:widowControl/>
              <w:snapToGrid w:val="false"/>
              <w:ind w:start="-180" w:end="0"/>
              <w:jc w:val="end"/>
              <w:rPr>
                <w:rFonts w:ascii="Times New Roman" w:hAnsi="Times New Roman" w:eastAsia="Times New Roman" w:cs="Times New Roman"/>
                <w:b/>
                <w:bCs/>
                <w:sz w:val="22"/>
                <w:szCs w:val="22"/>
              </w:rPr>
            </w:pPr>
            <w:r>
              <w:rPr>
                <w:rFonts w:eastAsia="Times New Roman" w:cs="Times New Roman"/>
                <w:b/>
                <w:bCs/>
                <w:sz w:val="22"/>
                <w:szCs w:val="22"/>
              </w:rPr>
            </w:r>
          </w:p>
        </w:tc>
        <w:tc>
          <w:tcPr>
            <w:tcW w:w="2601" w:type="dxa"/>
            <w:gridSpan w:val="2"/>
            <w:tcBorders/>
          </w:tcPr>
          <w:p>
            <w:pPr>
              <w:pStyle w:val="Department"/>
              <w:widowControl/>
              <w:snapToGrid w:val="false"/>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bookmarkStart w:id="0" w:name="From"/>
            <w:bookmarkStart w:id="1" w:name="From"/>
            <w:bookmarkEnd w:id="1"/>
          </w:p>
        </w:tc>
      </w:tr>
      <w:tr>
        <w:trPr>
          <w:trHeight w:val="216" w:hRule="exact"/>
        </w:trPr>
        <w:tc>
          <w:tcPr>
            <w:tcW w:w="1440" w:type="dxa"/>
            <w:tcBorders/>
          </w:tcPr>
          <w:p>
            <w:pPr>
              <w:pStyle w:val="Normal"/>
              <w:widowControl/>
              <w:snapToGrid w:val="false"/>
              <w:ind w:start="-108" w:end="0"/>
              <w:rPr>
                <w:rFonts w:ascii="Times New Roman" w:hAnsi="Times New Roman" w:eastAsia="Times New Roman" w:cs="Times New Roman"/>
                <w:b/>
                <w:bCs/>
                <w:sz w:val="22"/>
                <w:szCs w:val="22"/>
              </w:rPr>
            </w:pPr>
            <w:r>
              <w:rPr>
                <w:rFonts w:eastAsia="Times New Roman" w:cs="Times New Roman"/>
                <w:b/>
                <w:bCs/>
                <w:sz w:val="22"/>
                <w:szCs w:val="22"/>
              </w:rPr>
            </w:r>
          </w:p>
        </w:tc>
        <w:tc>
          <w:tcPr>
            <w:tcW w:w="3330" w:type="dxa"/>
            <w:tcBorders/>
          </w:tcPr>
          <w:p>
            <w:pPr>
              <w:pStyle w:val="Normal"/>
              <w:widowControl/>
              <w:snapToGrid w:val="false"/>
              <w:rPr>
                <w:b/>
                <w:bCs/>
                <w:sz w:val="22"/>
                <w:szCs w:val="22"/>
              </w:rPr>
            </w:pPr>
            <w:r>
              <w:rPr>
                <w:b/>
                <w:bCs/>
                <w:sz w:val="22"/>
                <w:szCs w:val="22"/>
              </w:rPr>
            </w:r>
          </w:p>
        </w:tc>
        <w:tc>
          <w:tcPr>
            <w:tcW w:w="2053" w:type="dxa"/>
            <w:gridSpan w:val="3"/>
            <w:tcBorders/>
          </w:tcPr>
          <w:p>
            <w:pPr>
              <w:pStyle w:val="Normal"/>
              <w:widowControl/>
              <w:tabs>
                <w:tab w:val="clear" w:pos="720"/>
                <w:tab w:val="left" w:pos="-108" w:leader="none"/>
              </w:tabs>
              <w:snapToGrid w:val="false"/>
              <w:ind w:start="-180" w:end="0"/>
              <w:rPr>
                <w:b/>
                <w:bCs/>
                <w:sz w:val="22"/>
                <w:szCs w:val="22"/>
              </w:rPr>
            </w:pPr>
            <w:r>
              <w:rPr>
                <w:b/>
                <w:bCs/>
                <w:sz w:val="22"/>
                <w:szCs w:val="22"/>
              </w:rPr>
            </w:r>
          </w:p>
        </w:tc>
        <w:tc>
          <w:tcPr>
            <w:tcW w:w="2087" w:type="dxa"/>
            <w:tcBorders/>
          </w:tcPr>
          <w:p>
            <w:pPr>
              <w:pStyle w:val="Normal"/>
              <w:widowControl/>
              <w:snapToGrid w:val="false"/>
              <w:rPr>
                <w:b/>
                <w:bCs/>
                <w:sz w:val="22"/>
                <w:szCs w:val="22"/>
              </w:rPr>
            </w:pPr>
            <w:r>
              <w:rPr>
                <w:b/>
                <w:bCs/>
                <w:sz w:val="22"/>
                <w:szCs w:val="22"/>
              </w:rPr>
            </w:r>
          </w:p>
        </w:tc>
      </w:tr>
      <w:tr>
        <w:trPr/>
        <w:tc>
          <w:tcPr>
            <w:tcW w:w="1440" w:type="dxa"/>
            <w:tcBorders/>
          </w:tcPr>
          <w:p>
            <w:pPr>
              <w:pStyle w:val="Normal"/>
              <w:widowControl/>
              <w:ind w:start="-108" w:end="0"/>
              <w:rPr>
                <w:b/>
                <w:bCs/>
                <w:sz w:val="22"/>
                <w:szCs w:val="22"/>
              </w:rPr>
            </w:pPr>
            <w:r>
              <w:rPr>
                <w:b/>
                <w:bCs/>
                <w:sz w:val="22"/>
                <w:szCs w:val="22"/>
              </w:rPr>
              <w:t>Subject:</w:t>
            </w:r>
          </w:p>
        </w:tc>
        <w:tc>
          <w:tcPr>
            <w:tcW w:w="3330" w:type="dxa"/>
            <w:tcBorders/>
          </w:tcPr>
          <w:p>
            <w:pPr>
              <w:pStyle w:val="Normal"/>
              <w:rPr>
                <w:b/>
                <w:bCs/>
                <w:sz w:val="22"/>
                <w:szCs w:val="22"/>
              </w:rPr>
            </w:pPr>
            <w:r>
              <w:rPr>
                <w:b/>
                <w:bCs/>
                <w:sz w:val="22"/>
                <w:szCs w:val="22"/>
              </w:rPr>
              <w:t xml:space="preserve">ORDER APPROVING STIPULATION AND CONSENT AGREEMENT </w:t>
            </w:r>
          </w:p>
          <w:p>
            <w:pPr>
              <w:pStyle w:val="Normal"/>
              <w:rPr>
                <w:sz w:val="22"/>
                <w:szCs w:val="22"/>
              </w:rPr>
            </w:pPr>
            <w:r>
              <w:rPr>
                <w:sz w:val="22"/>
                <w:szCs w:val="22"/>
              </w:rPr>
              <w:t>Docket No. IN-01-1</w:t>
            </w:r>
          </w:p>
          <w:p>
            <w:pPr>
              <w:pStyle w:val="Normal"/>
              <w:rPr>
                <w:sz w:val="22"/>
                <w:szCs w:val="22"/>
              </w:rPr>
            </w:pPr>
            <w:r>
              <w:rPr>
                <w:sz w:val="22"/>
                <w:szCs w:val="22"/>
              </w:rPr>
            </w:r>
          </w:p>
          <w:p>
            <w:pPr>
              <w:pStyle w:val="Normal"/>
              <w:rPr>
                <w:sz w:val="22"/>
                <w:szCs w:val="22"/>
              </w:rPr>
            </w:pPr>
            <w:r>
              <w:rPr>
                <w:sz w:val="22"/>
                <w:szCs w:val="22"/>
              </w:rPr>
              <w:t xml:space="preserve">Columbia Gas Transmission </w:t>
            </w:r>
          </w:p>
          <w:p>
            <w:pPr>
              <w:pStyle w:val="Normal"/>
              <w:rPr>
                <w:sz w:val="22"/>
                <w:szCs w:val="22"/>
              </w:rPr>
            </w:pPr>
            <w:r>
              <w:rPr>
                <w:sz w:val="22"/>
                <w:szCs w:val="22"/>
              </w:rPr>
              <w:t xml:space="preserve">Columbia Gulf Transmission </w:t>
            </w:r>
          </w:p>
          <w:p>
            <w:pPr>
              <w:pStyle w:val="Normal"/>
              <w:rPr>
                <w:sz w:val="22"/>
                <w:szCs w:val="22"/>
              </w:rPr>
            </w:pPr>
            <w:r>
              <w:rPr>
                <w:sz w:val="22"/>
                <w:szCs w:val="22"/>
              </w:rPr>
              <w:t>Columbia Energy Services</w:t>
            </w:r>
          </w:p>
          <w:p>
            <w:pPr>
              <w:pStyle w:val="Subject"/>
              <w:widowControl/>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c>
          <w:tcPr>
            <w:tcW w:w="1232" w:type="dxa"/>
            <w:tcBorders/>
          </w:tcPr>
          <w:p>
            <w:pPr>
              <w:pStyle w:val="Normal"/>
              <w:widowControl/>
              <w:ind w:start="44" w:end="0"/>
              <w:rPr>
                <w:b/>
                <w:bCs/>
                <w:sz w:val="22"/>
                <w:szCs w:val="22"/>
              </w:rPr>
            </w:pPr>
            <w:r>
              <w:rPr>
                <w:b/>
                <w:bCs/>
                <w:sz w:val="22"/>
                <w:szCs w:val="22"/>
              </w:rPr>
              <w:t>Date:</w:t>
            </w:r>
          </w:p>
        </w:tc>
        <w:tc>
          <w:tcPr>
            <w:tcW w:w="2908" w:type="dxa"/>
            <w:gridSpan w:val="3"/>
            <w:tcBorders/>
          </w:tcPr>
          <w:p>
            <w:pPr>
              <w:pStyle w:val="Date"/>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October 27, 2000</w:t>
            </w:r>
          </w:p>
        </w:tc>
      </w:tr>
    </w:tbl>
    <w:p>
      <w:pPr>
        <w:pStyle w:val="Normal"/>
        <w:widowControl/>
        <w:pBdr>
          <w:bottom w:val="single" w:sz="12" w:space="1" w:color="000000"/>
        </w:pBdr>
        <w:rPr>
          <w:sz w:val="22"/>
          <w:szCs w:val="22"/>
        </w:rPr>
      </w:pPr>
      <w:r>
        <w:rPr>
          <w:sz w:val="22"/>
          <w:szCs w:val="22"/>
        </w:rPr>
      </w:r>
    </w:p>
    <w:p>
      <w:pPr>
        <w:pStyle w:val="Normal"/>
        <w:widowControl/>
        <w:rPr>
          <w:sz w:val="22"/>
          <w:szCs w:val="22"/>
        </w:rPr>
      </w:pPr>
      <w:r>
        <w:rPr>
          <w:sz w:val="22"/>
          <w:szCs w:val="22"/>
        </w:rPr>
      </w:r>
    </w:p>
    <w:p>
      <w:pPr>
        <w:pStyle w:val="Normal"/>
        <w:rPr>
          <w:b/>
          <w:bCs/>
          <w:sz w:val="22"/>
          <w:szCs w:val="22"/>
          <w:u w:val="single"/>
        </w:rPr>
      </w:pPr>
      <w:r>
        <w:rPr>
          <w:b/>
          <w:bCs/>
          <w:sz w:val="22"/>
          <w:szCs w:val="22"/>
          <w:u w:val="single"/>
        </w:rPr>
        <w:t>Executive Summary</w:t>
      </w:r>
    </w:p>
    <w:p>
      <w:pPr>
        <w:pStyle w:val="Normal"/>
        <w:rPr>
          <w:b/>
          <w:bCs/>
          <w:sz w:val="22"/>
          <w:szCs w:val="22"/>
          <w:u w:val="single"/>
        </w:rPr>
      </w:pPr>
      <w:r>
        <w:rPr>
          <w:b/>
          <w:bCs/>
          <w:sz w:val="22"/>
          <w:szCs w:val="22"/>
          <w:u w:val="single"/>
        </w:rPr>
      </w:r>
    </w:p>
    <w:p>
      <w:pPr>
        <w:pStyle w:val="Normal"/>
        <w:rPr>
          <w:sz w:val="22"/>
          <w:szCs w:val="22"/>
        </w:rPr>
      </w:pPr>
      <w:r>
        <w:rPr>
          <w:sz w:val="22"/>
          <w:szCs w:val="22"/>
        </w:rPr>
        <w:t xml:space="preserve">On October 25, 2000, following a closed meeting, the Commission approved a consent agreement between the Market Oversight &amp; Enforcement section, Office of General Counsel (Enforcement) and the Columbia Companies which requires Columbia and Gulf to refund $27.5 million to customers for certain imbalance transactions (including $1.8 million of penalty refunds). </w:t>
      </w:r>
    </w:p>
    <w:p>
      <w:pPr>
        <w:pStyle w:val="Normal"/>
        <w:rPr>
          <w:sz w:val="22"/>
          <w:szCs w:val="22"/>
        </w:rPr>
      </w:pPr>
      <w:r>
        <w:rPr>
          <w:sz w:val="22"/>
          <w:szCs w:val="22"/>
        </w:rPr>
      </w:r>
    </w:p>
    <w:p>
      <w:pPr>
        <w:pStyle w:val="Normal"/>
        <w:rPr>
          <w:sz w:val="22"/>
          <w:szCs w:val="22"/>
        </w:rPr>
      </w:pPr>
      <w:r>
        <w:rPr>
          <w:sz w:val="22"/>
          <w:szCs w:val="22"/>
        </w:rPr>
        <w:t xml:space="preserve">Between 1996 and 1999, the Columbia Companies allowed eight shippers, including Columbia Energy, a marketing affiliate, to carry positive imbalances under negotiated agreements that allowed the shippers to generate revenues based on the fluctuating seasonal price of natural gas. Under the negotiated agreements, Columbia received 50-90% of such revenues.   During this time period, Columbia did not provide the gas imbalance service to every shipper that sought to participate, did not post the availability of imbalance service, and charged certain customers penalties. </w:t>
      </w:r>
    </w:p>
    <w:p>
      <w:pPr>
        <w:pStyle w:val="Normal"/>
        <w:rPr>
          <w:sz w:val="22"/>
          <w:szCs w:val="22"/>
        </w:rPr>
      </w:pPr>
      <w:r>
        <w:rPr>
          <w:sz w:val="22"/>
          <w:szCs w:val="22"/>
        </w:rPr>
      </w:r>
    </w:p>
    <w:p>
      <w:pPr>
        <w:pStyle w:val="Normal"/>
        <w:rPr>
          <w:sz w:val="22"/>
          <w:szCs w:val="22"/>
        </w:rPr>
      </w:pPr>
      <w:r>
        <w:rPr>
          <w:sz w:val="22"/>
          <w:szCs w:val="22"/>
        </w:rPr>
        <w:t>The Consent Agreement states that the Columbia Companies informed the Commission of the transactions in 1999.</w:t>
      </w:r>
    </w:p>
    <w:p>
      <w:pPr>
        <w:pStyle w:val="Normal"/>
        <w:rPr>
          <w:sz w:val="22"/>
          <w:szCs w:val="22"/>
        </w:rPr>
      </w:pPr>
      <w:r>
        <w:rPr>
          <w:sz w:val="22"/>
          <w:szCs w:val="22"/>
        </w:rPr>
      </w:r>
    </w:p>
    <w:p>
      <w:pPr>
        <w:pStyle w:val="Normal"/>
        <w:rPr>
          <w:sz w:val="22"/>
          <w:szCs w:val="22"/>
        </w:rPr>
      </w:pPr>
      <w:r>
        <w:rPr>
          <w:sz w:val="22"/>
          <w:szCs w:val="22"/>
        </w:rPr>
      </w:r>
    </w:p>
    <w:p>
      <w:pPr>
        <w:pStyle w:val="Normal"/>
        <w:rPr>
          <w:b/>
          <w:bCs/>
          <w:sz w:val="22"/>
          <w:szCs w:val="22"/>
          <w:u w:val="single"/>
        </w:rPr>
      </w:pPr>
      <w:r>
        <w:rPr>
          <w:b/>
          <w:bCs/>
          <w:sz w:val="22"/>
          <w:szCs w:val="22"/>
          <w:u w:val="single"/>
        </w:rPr>
        <w:t>Factual Background</w:t>
      </w:r>
    </w:p>
    <w:p>
      <w:pPr>
        <w:pStyle w:val="Normal"/>
        <w:rPr>
          <w:b/>
          <w:bCs/>
          <w:sz w:val="22"/>
          <w:szCs w:val="22"/>
          <w:u w:val="single"/>
        </w:rPr>
      </w:pPr>
      <w:r>
        <w:rPr>
          <w:b/>
          <w:bCs/>
          <w:sz w:val="22"/>
          <w:szCs w:val="22"/>
          <w:u w:val="single"/>
        </w:rPr>
      </w:r>
    </w:p>
    <w:p>
      <w:pPr>
        <w:pStyle w:val="Normal"/>
        <w:numPr>
          <w:ilvl w:val="0"/>
          <w:numId w:val="2"/>
        </w:numPr>
        <w:tabs>
          <w:tab w:val="clear" w:pos="720"/>
          <w:tab w:val="left" w:pos="0" w:leader="none"/>
        </w:tabs>
        <w:ind w:hanging="720" w:start="720" w:end="0"/>
        <w:rPr>
          <w:sz w:val="22"/>
          <w:szCs w:val="22"/>
        </w:rPr>
      </w:pPr>
      <w:r>
        <w:rPr>
          <w:sz w:val="22"/>
          <w:szCs w:val="22"/>
        </w:rPr>
        <w:t xml:space="preserve">As of January 1996, both Columbia's and Gulf's tariffs contained rate schedules for FT, IT and pooling. </w:t>
      </w:r>
    </w:p>
    <w:p>
      <w:pPr>
        <w:pStyle w:val="Normal"/>
        <w:numPr>
          <w:ilvl w:val="0"/>
          <w:numId w:val="2"/>
        </w:numPr>
        <w:tabs>
          <w:tab w:val="clear" w:pos="720"/>
          <w:tab w:val="left" w:pos="0" w:leader="none"/>
        </w:tabs>
        <w:ind w:hanging="720" w:start="720" w:end="0"/>
        <w:rPr>
          <w:sz w:val="22"/>
          <w:szCs w:val="22"/>
        </w:rPr>
      </w:pPr>
      <w:r>
        <w:rPr>
          <w:sz w:val="22"/>
          <w:szCs w:val="22"/>
        </w:rPr>
        <w:t xml:space="preserve">Columbia engaged in certain imbalance transactions with eight of its customers, including Columbia Energy Services (CES). </w:t>
      </w:r>
    </w:p>
    <w:p>
      <w:pPr>
        <w:pStyle w:val="Normal"/>
        <w:numPr>
          <w:ilvl w:val="0"/>
          <w:numId w:val="2"/>
        </w:numPr>
        <w:tabs>
          <w:tab w:val="clear" w:pos="720"/>
          <w:tab w:val="left" w:pos="0" w:leader="none"/>
        </w:tabs>
        <w:ind w:hanging="720" w:start="720" w:end="0"/>
        <w:rPr>
          <w:sz w:val="22"/>
          <w:szCs w:val="22"/>
        </w:rPr>
      </w:pPr>
      <w:r>
        <w:rPr>
          <w:sz w:val="22"/>
          <w:szCs w:val="22"/>
        </w:rPr>
        <w:t>Gulf also entered imbalance transactions with eight customer, not including CES.   Gulf recorded these transactions in a "Parking &amp; Lending Status Report" and referred to these transactions as "Special Deals."</w:t>
      </w:r>
    </w:p>
    <w:p>
      <w:pPr>
        <w:pStyle w:val="Normal"/>
        <w:numPr>
          <w:ilvl w:val="0"/>
          <w:numId w:val="2"/>
        </w:numPr>
        <w:tabs>
          <w:tab w:val="clear" w:pos="720"/>
          <w:tab w:val="left" w:pos="0" w:leader="none"/>
        </w:tabs>
        <w:ind w:hanging="720" w:start="720" w:end="0"/>
        <w:rPr>
          <w:sz w:val="22"/>
          <w:szCs w:val="22"/>
        </w:rPr>
      </w:pPr>
      <w:r>
        <w:rPr>
          <w:sz w:val="22"/>
          <w:szCs w:val="22"/>
        </w:rPr>
        <w:t xml:space="preserve">In the case of a positive imbalance transaction, a shipper (usually during summer or shoulder months) delivered a specified volume of gas into the system pursuant to a negotiated agreement with the pipeline.  Later, during periods of higher demand (usually in winter months), the shipper nominated the gas for delivery either via a pool-to-pool transfer to a third-party or for delivery to market using a separate transportation service agreement.   </w:t>
      </w:r>
    </w:p>
    <w:p>
      <w:pPr>
        <w:pStyle w:val="Normal"/>
        <w:numPr>
          <w:ilvl w:val="0"/>
          <w:numId w:val="2"/>
        </w:numPr>
        <w:tabs>
          <w:tab w:val="clear" w:pos="720"/>
          <w:tab w:val="left" w:pos="0" w:leader="none"/>
        </w:tabs>
        <w:ind w:hanging="720" w:start="720" w:end="0"/>
        <w:rPr>
          <w:sz w:val="22"/>
          <w:szCs w:val="22"/>
        </w:rPr>
      </w:pPr>
      <w:r>
        <w:rPr>
          <w:sz w:val="22"/>
          <w:szCs w:val="22"/>
        </w:rPr>
        <w:t xml:space="preserve">In the case of a negative imbalance transaction, a shipper (usually during winter months) delivered gas either via a pool-to-pool transfer to a third party or nominated the gas for delivery to market using a separate transportation service agreement.  To implement this transaction, the shipper (usually in winter months) nominated gas from the system pursuant to a negotiated agreement with the pipeline, and the pipeline confirmed an equivalent volume of supply to that shipper. At a later time (usually during summer or shoulder months), the shipper delivered gas back onto the pipeline's system to eliminate the negative imbalance.  </w:t>
      </w:r>
    </w:p>
    <w:p>
      <w:pPr>
        <w:pStyle w:val="Normal"/>
        <w:numPr>
          <w:ilvl w:val="0"/>
          <w:numId w:val="2"/>
        </w:numPr>
        <w:tabs>
          <w:tab w:val="clear" w:pos="720"/>
          <w:tab w:val="left" w:pos="0" w:leader="none"/>
        </w:tabs>
        <w:ind w:hanging="720" w:start="720" w:end="0"/>
        <w:rPr>
          <w:sz w:val="22"/>
          <w:szCs w:val="22"/>
        </w:rPr>
      </w:pPr>
      <w:r>
        <w:rPr>
          <w:sz w:val="22"/>
          <w:szCs w:val="22"/>
        </w:rPr>
        <w:t>Columbia received revenues from these transactions representing a percentage of the revenues.  This revenue represents the spread in gas prices between the NYMEX gas futures market index and an average of the Columbia Gas Appalachian Pool price and the price at the Henry Hub.  Columbia and the shipper then allocated a percentage of the revenues based upon the term of the transaction, i.e., seasonal or month-to-month.  For "seasonal" transactions (those of six months or longer), Columbia received approximately 90% of the anticipated transaction revenues.  For transactions of lesser duration, Columbia received 50%-60% of the anticipated revenues.</w:t>
      </w:r>
    </w:p>
    <w:p>
      <w:pPr>
        <w:pStyle w:val="Normal"/>
        <w:numPr>
          <w:ilvl w:val="0"/>
          <w:numId w:val="2"/>
        </w:numPr>
        <w:tabs>
          <w:tab w:val="clear" w:pos="720"/>
          <w:tab w:val="left" w:pos="0" w:leader="none"/>
        </w:tabs>
        <w:ind w:hanging="720" w:start="720" w:end="0"/>
        <w:rPr>
          <w:sz w:val="22"/>
          <w:szCs w:val="22"/>
        </w:rPr>
      </w:pPr>
      <w:r>
        <w:rPr>
          <w:sz w:val="22"/>
          <w:szCs w:val="22"/>
        </w:rPr>
        <w:t xml:space="preserve">Gulf arrived at its anticipated revenue amount based upon the differences between the NYMEX gas futures market prices and the Gas Daily published prices.  </w:t>
      </w:r>
    </w:p>
    <w:p>
      <w:pPr>
        <w:pStyle w:val="Normal"/>
        <w:numPr>
          <w:ilvl w:val="0"/>
          <w:numId w:val="2"/>
        </w:numPr>
        <w:tabs>
          <w:tab w:val="clear" w:pos="720"/>
          <w:tab w:val="left" w:pos="0" w:leader="none"/>
        </w:tabs>
        <w:ind w:hanging="360" w:start="720" w:end="0"/>
        <w:rPr>
          <w:sz w:val="22"/>
          <w:szCs w:val="22"/>
        </w:rPr>
      </w:pPr>
      <w:r>
        <w:rPr>
          <w:sz w:val="22"/>
          <w:szCs w:val="22"/>
        </w:rPr>
        <w:t>During this time, Columbia and Gulf did not provide the gas imbalance service to every shipper that sought to participate, and did not post the availability of the imbalance service on the EBB.</w:t>
      </w:r>
    </w:p>
    <w:p>
      <w:pPr>
        <w:pStyle w:val="Normal"/>
        <w:rPr>
          <w:sz w:val="22"/>
          <w:szCs w:val="22"/>
        </w:rPr>
      </w:pPr>
      <w:r>
        <w:rPr>
          <w:sz w:val="22"/>
          <w:szCs w:val="22"/>
        </w:rPr>
        <w:t xml:space="preserve">         </w:t>
      </w:r>
    </w:p>
    <w:p>
      <w:pPr>
        <w:pStyle w:val="Normal"/>
        <w:rPr>
          <w:sz w:val="22"/>
          <w:szCs w:val="22"/>
        </w:rPr>
      </w:pPr>
      <w:r>
        <w:rPr>
          <w:sz w:val="22"/>
          <w:szCs w:val="22"/>
        </w:rPr>
      </w:r>
    </w:p>
    <w:p>
      <w:pPr>
        <w:pStyle w:val="Normal"/>
        <w:rPr>
          <w:b/>
          <w:bCs/>
          <w:sz w:val="22"/>
          <w:szCs w:val="22"/>
          <w:u w:val="single"/>
        </w:rPr>
      </w:pPr>
      <w:r>
        <w:rPr>
          <w:b/>
          <w:bCs/>
          <w:sz w:val="22"/>
          <w:szCs w:val="22"/>
          <w:u w:val="single"/>
        </w:rPr>
        <w:t>Relationship to Tariff Provisions</w:t>
      </w:r>
    </w:p>
    <w:p>
      <w:pPr>
        <w:pStyle w:val="Normal"/>
        <w:rPr>
          <w:b/>
          <w:bCs/>
          <w:sz w:val="22"/>
          <w:szCs w:val="22"/>
          <w:u w:val="single"/>
        </w:rPr>
      </w:pPr>
      <w:r>
        <w:rPr>
          <w:b/>
          <w:bCs/>
          <w:sz w:val="22"/>
          <w:szCs w:val="22"/>
          <w:u w:val="single"/>
        </w:rPr>
      </w:r>
    </w:p>
    <w:p>
      <w:pPr>
        <w:pStyle w:val="Normal"/>
        <w:numPr>
          <w:ilvl w:val="0"/>
          <w:numId w:val="3"/>
        </w:numPr>
        <w:tabs>
          <w:tab w:val="clear" w:pos="720"/>
          <w:tab w:val="left" w:pos="0" w:leader="none"/>
        </w:tabs>
        <w:ind w:hanging="720" w:start="720" w:end="0"/>
        <w:rPr/>
      </w:pPr>
      <w:r>
        <w:rPr>
          <w:sz w:val="22"/>
          <w:szCs w:val="22"/>
        </w:rPr>
        <w:t xml:space="preserve">Initially, Columbia relied on its Interruptible Paper Pool (IPP) and FT to implement the gas imbalance transactions.  Columbia accumulated imbalance gas in the shipper's IPP service agreement account, and the shipper eliminated the imbalance by removing its gas or replenishing its gas. There is no charge or unit rate for service under the IPP Rate Schedule.  Columbia invoiced and collected its share of the negotiated gas imbalance transaction revenues under Rate Schedule FTS.   Columbia divided its expected share of the gas imbalance revenues by the FTS maximum rate and </w:t>
      </w:r>
      <w:r>
        <w:rPr>
          <w:b/>
          <w:bCs/>
          <w:sz w:val="22"/>
          <w:szCs w:val="22"/>
          <w:u w:val="single"/>
        </w:rPr>
        <w:t>derived a volume</w:t>
      </w:r>
      <w:r>
        <w:rPr>
          <w:sz w:val="22"/>
          <w:szCs w:val="22"/>
        </w:rPr>
        <w:t>.   Columbia then invoiced the shipper for this volume for a certain term at the maximum rate.  However, the pipeline did not use this FTS transportation or capacity for the gas imbalance transactions.</w:t>
      </w:r>
    </w:p>
    <w:p>
      <w:pPr>
        <w:pStyle w:val="Normal"/>
        <w:numPr>
          <w:ilvl w:val="0"/>
          <w:numId w:val="3"/>
        </w:numPr>
        <w:tabs>
          <w:tab w:val="clear" w:pos="720"/>
          <w:tab w:val="left" w:pos="0" w:leader="none"/>
        </w:tabs>
        <w:ind w:hanging="720" w:start="720" w:end="0"/>
        <w:rPr>
          <w:sz w:val="22"/>
          <w:szCs w:val="22"/>
        </w:rPr>
      </w:pPr>
      <w:r>
        <w:rPr>
          <w:sz w:val="22"/>
          <w:szCs w:val="22"/>
        </w:rPr>
        <w:t>Similarly, there is no charge or unit rate for service under Gulf's IPP Rate Schedule.  Gulf invoiced and collected its share of the negotiated gas imbalance transaction revenues under Rate Schedule FTS and ITS.  Gulf divided its expected share of the gas imbalance revenues by the FTS (or ITS) maximum rate and derived a volume.  Gulf then billed the shipper for this volume for a certain term at the maximum rate.   However, the pipeline did not use FTS or ITS transportation or capacity for the gas imbalance transactions.</w:t>
      </w:r>
    </w:p>
    <w:p>
      <w:pPr>
        <w:pStyle w:val="Normal"/>
        <w:numPr>
          <w:ilvl w:val="0"/>
          <w:numId w:val="3"/>
        </w:numPr>
        <w:tabs>
          <w:tab w:val="clear" w:pos="720"/>
          <w:tab w:val="left" w:pos="0" w:leader="none"/>
        </w:tabs>
        <w:ind w:hanging="720" w:start="720" w:end="0"/>
        <w:rPr>
          <w:sz w:val="22"/>
          <w:szCs w:val="22"/>
        </w:rPr>
      </w:pPr>
      <w:r>
        <w:rPr>
          <w:sz w:val="22"/>
          <w:szCs w:val="22"/>
        </w:rPr>
        <w:t xml:space="preserve">On or about December 1996, Columbia changed its procedures regarding the gas imbalance transactions. It invoiced the shippers under its Storage in Transit (SIT) Rate Schedule.   Rate Schedule SIT provides for interruptible storage of gas to balance differences between actual receipts and actual deliveries under Shipper's Transportation Service Agreements.   Daily SIT variances are billed a commodity charge.  In the gas imbalance transactions at hand, Columbia did not bill a commodity charge on the daily variances.  Instead, Columbia set us a separate SIT account for the shippers.  Columbia derived the volume to record in the separate SIT account by dividing Columbia's share of the negotiated revenues by the maximum SIT unit rate.  </w:t>
      </w:r>
    </w:p>
    <w:p>
      <w:pPr>
        <w:pStyle w:val="Normal"/>
        <w:numPr>
          <w:ilvl w:val="0"/>
          <w:numId w:val="3"/>
        </w:numPr>
        <w:tabs>
          <w:tab w:val="clear" w:pos="720"/>
          <w:tab w:val="left" w:pos="0" w:leader="none"/>
        </w:tabs>
        <w:ind w:hanging="720" w:start="720" w:end="0"/>
        <w:rPr>
          <w:sz w:val="22"/>
          <w:szCs w:val="22"/>
        </w:rPr>
      </w:pPr>
      <w:r>
        <w:rPr>
          <w:sz w:val="22"/>
          <w:szCs w:val="22"/>
        </w:rPr>
        <w:t>Under Columbia's tariff, a shipper that fails to cure a SIT balance within 30 days is charged a penalty of $0.25 per Dth.  During the period 1996-1999, Columbia collected SIT penalties of $1,325,289 from certain shippers, while shippers participating in the gas imbalance transactions did incur SIT penalties.</w:t>
      </w:r>
    </w:p>
    <w:p>
      <w:pPr>
        <w:pStyle w:val="Normal"/>
        <w:numPr>
          <w:ilvl w:val="0"/>
          <w:numId w:val="3"/>
        </w:numPr>
        <w:tabs>
          <w:tab w:val="clear" w:pos="720"/>
          <w:tab w:val="left" w:pos="0" w:leader="none"/>
        </w:tabs>
        <w:ind w:hanging="360" w:start="720" w:end="0"/>
        <w:rPr>
          <w:sz w:val="22"/>
          <w:szCs w:val="22"/>
        </w:rPr>
      </w:pPr>
      <w:r>
        <w:rPr>
          <w:sz w:val="22"/>
          <w:szCs w:val="22"/>
        </w:rPr>
        <w:t>In October 1998, Columbia received authority for parking and lending (PAL) service.  PAL transactions, must be shown on Columbia's EBB.  To date, Gulf does not have a PAL rate schedule.</w:t>
      </w:r>
    </w:p>
    <w:p>
      <w:pPr>
        <w:pStyle w:val="Normal"/>
        <w:rPr>
          <w:sz w:val="22"/>
          <w:szCs w:val="22"/>
        </w:rPr>
      </w:pPr>
      <w:r>
        <w:rPr>
          <w:sz w:val="22"/>
          <w:szCs w:val="22"/>
        </w:rPr>
      </w:r>
    </w:p>
    <w:p>
      <w:pPr>
        <w:pStyle w:val="Normal"/>
        <w:rPr>
          <w:sz w:val="22"/>
          <w:szCs w:val="22"/>
        </w:rPr>
      </w:pPr>
      <w:r>
        <w:rPr>
          <w:sz w:val="22"/>
          <w:szCs w:val="22"/>
        </w:rPr>
      </w:r>
    </w:p>
    <w:p>
      <w:pPr>
        <w:pStyle w:val="Normal"/>
        <w:rPr>
          <w:b/>
          <w:bCs/>
          <w:sz w:val="22"/>
          <w:szCs w:val="22"/>
          <w:u w:val="single"/>
        </w:rPr>
      </w:pPr>
      <w:r>
        <w:rPr>
          <w:b/>
          <w:bCs/>
          <w:sz w:val="22"/>
          <w:szCs w:val="22"/>
          <w:u w:val="single"/>
        </w:rPr>
        <w:t>Enforcement's Position</w:t>
      </w:r>
    </w:p>
    <w:p>
      <w:pPr>
        <w:pStyle w:val="Normal"/>
        <w:rPr>
          <w:b/>
          <w:bCs/>
          <w:sz w:val="22"/>
          <w:szCs w:val="22"/>
          <w:u w:val="single"/>
        </w:rPr>
      </w:pPr>
      <w:r>
        <w:rPr>
          <w:b/>
          <w:bCs/>
          <w:sz w:val="22"/>
          <w:szCs w:val="22"/>
          <w:u w:val="single"/>
        </w:rPr>
      </w:r>
    </w:p>
    <w:p>
      <w:pPr>
        <w:pStyle w:val="Normal"/>
        <w:numPr>
          <w:ilvl w:val="0"/>
          <w:numId w:val="4"/>
        </w:numPr>
        <w:tabs>
          <w:tab w:val="clear" w:pos="720"/>
          <w:tab w:val="left" w:pos="0" w:leader="none"/>
        </w:tabs>
        <w:ind w:hanging="720" w:start="720" w:end="0"/>
        <w:rPr>
          <w:sz w:val="22"/>
          <w:szCs w:val="22"/>
        </w:rPr>
      </w:pPr>
      <w:r>
        <w:rPr>
          <w:sz w:val="22"/>
          <w:szCs w:val="22"/>
        </w:rPr>
        <w:t>It is Enforcement's position that the gas imbalance transactions were unauthorized parking and lending transactions</w:t>
      </w:r>
    </w:p>
    <w:p>
      <w:pPr>
        <w:pStyle w:val="Normal"/>
        <w:numPr>
          <w:ilvl w:val="0"/>
          <w:numId w:val="4"/>
        </w:numPr>
        <w:tabs>
          <w:tab w:val="clear" w:pos="720"/>
          <w:tab w:val="left" w:pos="0" w:leader="none"/>
        </w:tabs>
        <w:ind w:hanging="720" w:start="720" w:end="0"/>
        <w:rPr>
          <w:sz w:val="22"/>
          <w:szCs w:val="22"/>
        </w:rPr>
      </w:pPr>
      <w:r>
        <w:rPr>
          <w:sz w:val="22"/>
          <w:szCs w:val="22"/>
        </w:rPr>
        <w:t xml:space="preserve">Columbia's and Gulf's unauthorized parking and lending transactions violated section 4(b) of the Natural Gas Act (NGA) and their blanket certificates issued under Part 284 of the Commission's regulations by unduly discriminating in favor of selected customers. </w:t>
      </w:r>
    </w:p>
    <w:p>
      <w:pPr>
        <w:pStyle w:val="Normal"/>
        <w:numPr>
          <w:ilvl w:val="0"/>
          <w:numId w:val="4"/>
        </w:numPr>
        <w:tabs>
          <w:tab w:val="clear" w:pos="720"/>
          <w:tab w:val="left" w:pos="0" w:leader="none"/>
        </w:tabs>
        <w:ind w:hanging="720" w:start="720" w:end="0"/>
        <w:rPr>
          <w:sz w:val="22"/>
          <w:szCs w:val="22"/>
        </w:rPr>
      </w:pPr>
      <w:r>
        <w:rPr>
          <w:sz w:val="22"/>
          <w:szCs w:val="22"/>
        </w:rPr>
        <w:t>Columbia also violated the standards of conduct by unduly discriminating in favor of its marketing affiliate.</w:t>
      </w:r>
    </w:p>
    <w:p>
      <w:pPr>
        <w:pStyle w:val="Normal"/>
        <w:numPr>
          <w:ilvl w:val="0"/>
          <w:numId w:val="4"/>
        </w:numPr>
        <w:tabs>
          <w:tab w:val="clear" w:pos="720"/>
          <w:tab w:val="left" w:pos="0" w:leader="none"/>
        </w:tabs>
        <w:ind w:hanging="720" w:start="720" w:end="0"/>
        <w:rPr>
          <w:sz w:val="22"/>
          <w:szCs w:val="22"/>
        </w:rPr>
      </w:pPr>
      <w:r>
        <w:rPr>
          <w:sz w:val="22"/>
          <w:szCs w:val="22"/>
        </w:rPr>
        <w:t>Columbia and Gulf also violated sections 4(a), 4(c), and 4(d) of the NGA because they received revenues that were not based upon just and reasonable rates and did not file for and receive Commission authority for the rates and terms of service for the parking and lending transactions.</w:t>
      </w:r>
    </w:p>
    <w:p>
      <w:pPr>
        <w:pStyle w:val="Normal"/>
        <w:numPr>
          <w:ilvl w:val="0"/>
          <w:numId w:val="4"/>
        </w:numPr>
        <w:tabs>
          <w:tab w:val="clear" w:pos="720"/>
          <w:tab w:val="left" w:pos="0" w:leader="none"/>
        </w:tabs>
        <w:ind w:hanging="720" w:start="720" w:end="0"/>
        <w:rPr>
          <w:sz w:val="22"/>
          <w:szCs w:val="22"/>
        </w:rPr>
      </w:pPr>
      <w:r>
        <w:rPr>
          <w:sz w:val="22"/>
          <w:szCs w:val="22"/>
        </w:rPr>
        <w:t>Columbia willfully filed false gas storage reports with the Commission in violation of section 10(b) of the NGA.</w:t>
      </w:r>
    </w:p>
    <w:p>
      <w:pPr>
        <w:pStyle w:val="Normal"/>
        <w:numPr>
          <w:ilvl w:val="0"/>
          <w:numId w:val="4"/>
        </w:numPr>
        <w:tabs>
          <w:tab w:val="clear" w:pos="720"/>
          <w:tab w:val="left" w:pos="0" w:leader="none"/>
        </w:tabs>
        <w:ind w:hanging="360" w:start="720" w:end="0"/>
        <w:rPr>
          <w:sz w:val="22"/>
          <w:szCs w:val="22"/>
        </w:rPr>
      </w:pPr>
      <w:r>
        <w:rPr>
          <w:sz w:val="22"/>
          <w:szCs w:val="22"/>
        </w:rPr>
        <w:t xml:space="preserve">By actively participating in the unduly discriminatory, off-tariff transportation transactions, CES, an affiliate of Columbia, violated its blanket marketing certificate issued under Subpart L of Part 284, sections 401 and 402 of the Commission's regulations. </w:t>
      </w:r>
    </w:p>
    <w:p>
      <w:pPr>
        <w:pStyle w:val="Normal"/>
        <w:rPr>
          <w:sz w:val="22"/>
          <w:szCs w:val="22"/>
        </w:rPr>
      </w:pPr>
      <w:r>
        <w:rPr>
          <w:sz w:val="22"/>
          <w:szCs w:val="22"/>
        </w:rPr>
      </w:r>
    </w:p>
    <w:p>
      <w:pPr>
        <w:pStyle w:val="Normal"/>
        <w:rPr>
          <w:b/>
          <w:bCs/>
          <w:sz w:val="22"/>
          <w:szCs w:val="22"/>
          <w:u w:val="single"/>
        </w:rPr>
      </w:pPr>
      <w:r>
        <w:rPr>
          <w:b/>
          <w:bCs/>
          <w:sz w:val="22"/>
          <w:szCs w:val="22"/>
          <w:u w:val="single"/>
        </w:rPr>
        <w:t>Columbia's Position</w:t>
      </w:r>
    </w:p>
    <w:p>
      <w:pPr>
        <w:pStyle w:val="Normal"/>
        <w:rPr>
          <w:b/>
          <w:bCs/>
          <w:sz w:val="22"/>
          <w:szCs w:val="22"/>
          <w:u w:val="single"/>
        </w:rPr>
      </w:pPr>
      <w:r>
        <w:rPr>
          <w:b/>
          <w:bCs/>
          <w:sz w:val="22"/>
          <w:szCs w:val="22"/>
          <w:u w:val="single"/>
        </w:rPr>
      </w:r>
    </w:p>
    <w:p>
      <w:pPr>
        <w:pStyle w:val="Normal"/>
        <w:numPr>
          <w:ilvl w:val="0"/>
          <w:numId w:val="5"/>
        </w:numPr>
        <w:tabs>
          <w:tab w:val="clear" w:pos="720"/>
          <w:tab w:val="left" w:pos="0" w:leader="none"/>
        </w:tabs>
        <w:ind w:hanging="720" w:start="720" w:end="0"/>
        <w:rPr>
          <w:sz w:val="22"/>
          <w:szCs w:val="22"/>
        </w:rPr>
      </w:pPr>
      <w:r>
        <w:rPr>
          <w:sz w:val="22"/>
          <w:szCs w:val="22"/>
        </w:rPr>
        <w:t>The Columbia Companies neither admit nor deny a violation, but agree to the settlement to avoid litigation.</w:t>
      </w:r>
    </w:p>
    <w:p>
      <w:pPr>
        <w:pStyle w:val="Normal"/>
        <w:numPr>
          <w:ilvl w:val="0"/>
          <w:numId w:val="5"/>
        </w:numPr>
        <w:tabs>
          <w:tab w:val="clear" w:pos="720"/>
          <w:tab w:val="left" w:pos="0" w:leader="none"/>
        </w:tabs>
        <w:ind w:hanging="720" w:start="720" w:end="0"/>
        <w:rPr>
          <w:sz w:val="22"/>
          <w:szCs w:val="22"/>
        </w:rPr>
      </w:pPr>
      <w:r>
        <w:rPr>
          <w:sz w:val="22"/>
          <w:szCs w:val="22"/>
        </w:rPr>
        <w:t>Columbia relied on tariff provisions in its Rate Schedules IPP and SIT to provide the gas imbalance service.</w:t>
      </w:r>
    </w:p>
    <w:p>
      <w:pPr>
        <w:pStyle w:val="Normal"/>
        <w:numPr>
          <w:ilvl w:val="0"/>
          <w:numId w:val="5"/>
        </w:numPr>
        <w:tabs>
          <w:tab w:val="clear" w:pos="720"/>
          <w:tab w:val="left" w:pos="0" w:leader="none"/>
        </w:tabs>
        <w:ind w:hanging="720" w:start="720" w:end="0"/>
        <w:rPr>
          <w:sz w:val="22"/>
          <w:szCs w:val="22"/>
        </w:rPr>
      </w:pPr>
      <w:r>
        <w:rPr>
          <w:sz w:val="22"/>
          <w:szCs w:val="22"/>
        </w:rPr>
        <w:t>Columbia's and Gulf's gas imbalance customers nominated all physical movements of gas.</w:t>
      </w:r>
    </w:p>
    <w:p>
      <w:pPr>
        <w:pStyle w:val="Normal"/>
        <w:numPr>
          <w:ilvl w:val="0"/>
          <w:numId w:val="5"/>
        </w:numPr>
        <w:tabs>
          <w:tab w:val="clear" w:pos="720"/>
          <w:tab w:val="left" w:pos="0" w:leader="none"/>
        </w:tabs>
        <w:ind w:hanging="360" w:start="720" w:end="0"/>
        <w:rPr>
          <w:sz w:val="22"/>
          <w:szCs w:val="22"/>
        </w:rPr>
      </w:pPr>
      <w:r>
        <w:rPr>
          <w:sz w:val="22"/>
          <w:szCs w:val="22"/>
        </w:rPr>
        <w:t>There is nothing in Columbia's tariff that precludes a shipper from having more than one SIT account.</w:t>
      </w:r>
    </w:p>
    <w:p>
      <w:pPr>
        <w:pStyle w:val="Normal"/>
        <w:rPr>
          <w:sz w:val="22"/>
          <w:szCs w:val="22"/>
        </w:rPr>
      </w:pPr>
      <w:r>
        <w:rPr>
          <w:sz w:val="22"/>
          <w:szCs w:val="22"/>
        </w:rPr>
      </w:r>
    </w:p>
    <w:p>
      <w:pPr>
        <w:pStyle w:val="Normal"/>
        <w:rPr>
          <w:b/>
          <w:bCs/>
          <w:sz w:val="22"/>
          <w:szCs w:val="22"/>
          <w:u w:val="single"/>
        </w:rPr>
      </w:pPr>
      <w:r>
        <w:rPr>
          <w:b/>
          <w:bCs/>
          <w:sz w:val="22"/>
          <w:szCs w:val="22"/>
          <w:u w:val="single"/>
        </w:rPr>
        <w:t>Remedy</w:t>
      </w:r>
    </w:p>
    <w:p>
      <w:pPr>
        <w:pStyle w:val="Normal"/>
        <w:rPr>
          <w:b/>
          <w:bCs/>
          <w:sz w:val="22"/>
          <w:szCs w:val="22"/>
          <w:u w:val="single"/>
        </w:rPr>
      </w:pPr>
      <w:r>
        <w:rPr>
          <w:b/>
          <w:bCs/>
          <w:sz w:val="22"/>
          <w:szCs w:val="22"/>
          <w:u w:val="single"/>
        </w:rPr>
      </w:r>
    </w:p>
    <w:p>
      <w:pPr>
        <w:pStyle w:val="Normal"/>
        <w:rPr>
          <w:sz w:val="22"/>
          <w:szCs w:val="22"/>
        </w:rPr>
      </w:pPr>
      <w:r>
        <w:rPr>
          <w:sz w:val="22"/>
          <w:szCs w:val="22"/>
        </w:rPr>
        <w:t>Columbia and Gulf will pay a remedy in the amount of $27,500,000, which includes any consideration for interest.  The amounts shall be paid as follows:</w:t>
      </w:r>
    </w:p>
    <w:p>
      <w:pPr>
        <w:pStyle w:val="Normal"/>
        <w:rPr>
          <w:sz w:val="22"/>
          <w:szCs w:val="22"/>
        </w:rPr>
      </w:pPr>
      <w:r>
        <w:rPr>
          <w:sz w:val="22"/>
          <w:szCs w:val="22"/>
        </w:rPr>
      </w:r>
    </w:p>
    <w:p>
      <w:pPr>
        <w:pStyle w:val="Normal"/>
        <w:numPr>
          <w:ilvl w:val="0"/>
          <w:numId w:val="6"/>
        </w:numPr>
        <w:tabs>
          <w:tab w:val="clear" w:pos="720"/>
          <w:tab w:val="left" w:pos="0" w:leader="none"/>
          <w:tab w:val="left" w:pos="360" w:leader="none"/>
        </w:tabs>
        <w:ind w:hanging="720" w:start="1080" w:end="0"/>
        <w:rPr>
          <w:sz w:val="22"/>
          <w:szCs w:val="22"/>
        </w:rPr>
      </w:pPr>
      <w:r>
        <w:rPr>
          <w:sz w:val="22"/>
          <w:szCs w:val="22"/>
        </w:rPr>
        <w:t xml:space="preserve">First, all customers that paid SIT penalties will receive full refunds, including interest.  </w:t>
      </w:r>
    </w:p>
    <w:p>
      <w:pPr>
        <w:pStyle w:val="Normal"/>
        <w:numPr>
          <w:ilvl w:val="0"/>
          <w:numId w:val="6"/>
        </w:numPr>
        <w:tabs>
          <w:tab w:val="clear" w:pos="720"/>
          <w:tab w:val="left" w:pos="0" w:leader="none"/>
          <w:tab w:val="left" w:pos="360" w:leader="none"/>
        </w:tabs>
        <w:ind w:hanging="360" w:start="1080" w:end="0"/>
        <w:rPr>
          <w:sz w:val="22"/>
          <w:szCs w:val="22"/>
        </w:rPr>
      </w:pPr>
      <w:r>
        <w:rPr>
          <w:sz w:val="22"/>
          <w:szCs w:val="22"/>
        </w:rPr>
        <w:t>Of the remaining pool of $25,682,723, $24,662,800 will be paid to Columbia's firm and interruptible gas transportation customers and $1,019,923 will be paid to Gulf's firm and interruptible gas transportation customers.</w:t>
      </w:r>
    </w:p>
    <w:p>
      <w:pPr>
        <w:pStyle w:val="Normal"/>
        <w:rPr>
          <w:sz w:val="22"/>
          <w:szCs w:val="22"/>
        </w:rPr>
      </w:pPr>
      <w:r>
        <w:rPr>
          <w:sz w:val="22"/>
          <w:szCs w:val="22"/>
        </w:rPr>
      </w:r>
    </w:p>
    <w:p>
      <w:pPr>
        <w:pStyle w:val="Normal"/>
        <w:rPr>
          <w:sz w:val="22"/>
          <w:szCs w:val="22"/>
        </w:rPr>
      </w:pPr>
      <w:r>
        <w:rPr>
          <w:sz w:val="22"/>
          <w:szCs w:val="22"/>
        </w:rPr>
      </w:r>
    </w:p>
    <w:p>
      <w:pPr>
        <w:pStyle w:val="Normal"/>
        <w:widowControl/>
        <w:rPr>
          <w:sz w:val="22"/>
          <w:szCs w:val="22"/>
        </w:rPr>
      </w:pPr>
      <w:r>
        <w:rPr>
          <w:sz w:val="22"/>
          <w:szCs w:val="22"/>
        </w:rPr>
      </w:r>
    </w:p>
    <w:sectPr>
      <w:footerReference w:type="default" r:id="rId3"/>
      <w:type w:val="nextPage"/>
      <w:pgSz w:w="12240" w:h="15840"/>
      <w:pgMar w:left="1800" w:right="1800" w:gutter="0" w:header="0" w:top="99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 w:name="Courier New">
    <w:charset w:val="01"/>
    <w:family w:val="modern"/>
    <w:pitch w:val="default"/>
  </w:font>
  <w:font w:name="Wingdings">
    <w:altName w:val="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Ø"/>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Ø"/>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Ø"/>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Ø"/>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bCs/>
      <w:color w:val="000000"/>
      <w:u w:val="single"/>
    </w:rPr>
  </w:style>
  <w:style w:type="paragraph" w:styleId="Heading5">
    <w:name w:val="heading 5"/>
    <w:basedOn w:val="Normal"/>
    <w:next w:val="Normal"/>
    <w:qFormat/>
    <w:pPr>
      <w:keepNext w:val="true"/>
      <w:numPr>
        <w:ilvl w:val="4"/>
        <w:numId w:val="1"/>
      </w:numPr>
      <w:outlineLvl w:val="4"/>
    </w:pPr>
    <w:rPr>
      <w:b/>
      <w:bCs/>
      <w:sz w:val="24"/>
      <w:szCs w:val="24"/>
      <w:u w:val="single"/>
    </w:rPr>
  </w:style>
  <w:style w:type="paragraph" w:styleId="Heading6">
    <w:name w:val="heading 6"/>
    <w:basedOn w:val="Normal"/>
    <w:next w:val="Normal"/>
    <w:qFormat/>
    <w:pPr>
      <w:keepNext w:val="true"/>
      <w:numPr>
        <w:ilvl w:val="5"/>
        <w:numId w:val="1"/>
      </w:numPr>
      <w:outlineLvl w:val="5"/>
    </w:pPr>
    <w:rPr>
      <w:sz w:val="24"/>
      <w:szCs w:val="24"/>
      <w:u w:val="single"/>
    </w:rPr>
  </w:style>
  <w:style w:type="character" w:styleId="DefaultParagraphFont">
    <w:name w:val="Default Paragraph Font"/>
    <w:qFormat/>
    <w:rPr/>
  </w:style>
  <w:style w:type="character" w:styleId="PageNumber">
    <w:name w:val="page number"/>
    <w:basedOn w:val="DefaultParagraphFont"/>
    <w:rPr/>
  </w:style>
  <w:style w:type="character" w:styleId="footnoteref">
    <w:name w:val="footnote ref"/>
    <w:basedOn w:val="DefaultParagraph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BodyText2">
    <w:name w:val="Body Text 2"/>
    <w:basedOn w:val="Normal"/>
    <w:qFormat/>
    <w:pPr/>
    <w:rPr>
      <w:sz w:val="24"/>
      <w:szCs w:val="24"/>
    </w:rPr>
  </w:style>
  <w:style w:type="paragraph" w:styleId="FootnoteText">
    <w:name w:val="footnote text"/>
    <w:basedOn w:val="Normal"/>
    <w:pPr/>
    <w:rPr>
      <w:rFonts w:ascii="Courier New" w:hAnsi="Courier New" w:eastAsia="Courier New" w:cs="Courier New"/>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2000-10-27T12:37:00Z</dcterms:created>
  <dc:creator>ET&amp;S LAN Support</dc:creator>
  <dc:description/>
  <dc:language>en-CA</dc:language>
  <cp:lastModifiedBy>scorman</cp:lastModifiedBy>
  <cp:lastPrinted>2000-10-27T09:49:00Z</cp:lastPrinted>
  <dcterms:modified xsi:type="dcterms:W3CDTF">2000-10-27T12:54:00Z</dcterms:modified>
  <cp:revision>6</cp:revision>
  <dc:subject/>
  <dc:title>DRAFT</dc:title>
</cp:coreProperties>
</file>