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rPr>
      </w:pPr>
      <w:r>
        <w:rPr>
          <w:color w:val="000000"/>
          <w:sz w:val="24"/>
        </w:rPr>
        <w:t>September 27, 2001</w:t>
        <w:tab/>
        <w:tab/>
        <w:tab/>
        <w:tab/>
        <w:tab/>
        <w:tab/>
        <w:tab/>
        <w:tab/>
      </w:r>
    </w:p>
    <w:p>
      <w:pPr>
        <w:pStyle w:val="Normal"/>
        <w:tabs>
          <w:tab w:val="clear" w:pos="720"/>
          <w:tab w:val="left" w:pos="5310" w:leader="none"/>
        </w:tabs>
        <w:rPr>
          <w:color w:val="000000"/>
          <w:sz w:val="24"/>
        </w:rPr>
      </w:pPr>
      <w:r>
        <w:rPr>
          <w:color w:val="000000"/>
          <w:sz w:val="24"/>
        </w:rPr>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David P. Boergers</w:t>
      </w:r>
    </w:p>
    <w:p>
      <w:pPr>
        <w:pStyle w:val="Normal"/>
        <w:rPr>
          <w:color w:val="000000"/>
          <w:sz w:val="24"/>
        </w:rPr>
      </w:pPr>
      <w:r>
        <w:rPr>
          <w:color w:val="000000"/>
          <w:sz w:val="24"/>
        </w:rPr>
        <w:t>Office of the Secretary</w:t>
      </w:r>
    </w:p>
    <w:p>
      <w:pPr>
        <w:pStyle w:val="Normal"/>
        <w:rPr>
          <w:color w:val="000000"/>
          <w:sz w:val="24"/>
        </w:rPr>
      </w:pPr>
      <w:r>
        <w:rPr>
          <w:color w:val="000000"/>
          <w:sz w:val="24"/>
        </w:rPr>
        <w:t>Docket Room</w:t>
      </w:r>
    </w:p>
    <w:p>
      <w:pPr>
        <w:pStyle w:val="Normal"/>
        <w:rPr>
          <w:color w:val="000000"/>
          <w:sz w:val="24"/>
        </w:rPr>
      </w:pPr>
      <w:r>
        <w:rPr>
          <w:color w:val="000000"/>
          <w:sz w:val="24"/>
        </w:rPr>
        <w:t>Federal Energy Regulatory Commission</w:t>
      </w:r>
    </w:p>
    <w:p>
      <w:pPr>
        <w:pStyle w:val="Normal"/>
        <w:rPr>
          <w:color w:val="000000"/>
          <w:sz w:val="24"/>
        </w:rPr>
      </w:pPr>
      <w:r>
        <w:rPr>
          <w:color w:val="000000"/>
          <w:sz w:val="24"/>
        </w:rPr>
        <w:t>888 First Street, N.E., Room 1A, East</w:t>
      </w:r>
    </w:p>
    <w:p>
      <w:pPr>
        <w:pStyle w:val="Normal"/>
        <w:rPr>
          <w:color w:val="000000"/>
          <w:sz w:val="24"/>
        </w:rPr>
      </w:pPr>
      <w:r>
        <w:rPr>
          <w:color w:val="000000"/>
          <w:sz w:val="24"/>
        </w:rPr>
        <w:t>Washington, D.C.  20002</w:t>
      </w:r>
    </w:p>
    <w:p>
      <w:pPr>
        <w:pStyle w:val="Footer"/>
        <w:tabs>
          <w:tab w:val="clear" w:pos="4320"/>
          <w:tab w:val="clear" w:pos="8640"/>
        </w:tabs>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Dear Mr. Boergers:</w:t>
      </w:r>
    </w:p>
    <w:p>
      <w:pPr>
        <w:pStyle w:val="Normal"/>
        <w:rPr>
          <w:color w:val="000000"/>
          <w:sz w:val="24"/>
        </w:rPr>
      </w:pPr>
      <w:r>
        <w:rPr>
          <w:color w:val="000000"/>
          <w:sz w:val="24"/>
        </w:rPr>
      </w:r>
    </w:p>
    <w:p>
      <w:pPr>
        <w:pStyle w:val="Normal"/>
        <w:ind w:hanging="432" w:start="432" w:end="0"/>
        <w:rPr>
          <w:color w:val="000000"/>
          <w:sz w:val="24"/>
        </w:rPr>
      </w:pPr>
      <w:r>
        <w:rPr>
          <w:color w:val="000000"/>
          <w:sz w:val="24"/>
        </w:rPr>
        <w:t>Re:</w:t>
      </w:r>
      <w:r>
        <w:rPr/>
        <w:tab/>
      </w:r>
      <w:r>
        <w:rPr>
          <w:sz w:val="24"/>
          <w:u w:val="single"/>
        </w:rPr>
        <w:t>Colton Power L.P.</w:t>
      </w:r>
      <w:r>
        <w:rPr>
          <w:sz w:val="24"/>
        </w:rPr>
        <w:t>, Docket No. ER01-3068-000</w:t>
      </w:r>
    </w:p>
    <w:p>
      <w:pPr>
        <w:pStyle w:val="Normal"/>
        <w:rPr>
          <w:color w:val="000000"/>
          <w:sz w:val="24"/>
        </w:rPr>
      </w:pPr>
      <w:r>
        <w:rPr>
          <w:color w:val="000000"/>
          <w:sz w:val="24"/>
        </w:rPr>
        <w:tab/>
        <w:tab/>
        <w:tab/>
        <w:tab/>
        <w:tab/>
        <w:tab/>
      </w:r>
    </w:p>
    <w:p>
      <w:pPr>
        <w:pStyle w:val="Normal"/>
        <w:rPr>
          <w:color w:val="000000"/>
          <w:sz w:val="24"/>
        </w:rPr>
      </w:pPr>
      <w:r>
        <w:rPr>
          <w:color w:val="000000"/>
          <w:sz w:val="24"/>
        </w:rPr>
        <w:t xml:space="preserve">Enclosed for filing in the above-docketed case please find an electronic version of a </w:t>
      </w:r>
    </w:p>
    <w:p>
      <w:pPr>
        <w:pStyle w:val="Normal"/>
        <w:rPr>
          <w:b/>
          <w:color w:val="000000"/>
          <w:sz w:val="24"/>
        </w:rPr>
      </w:pPr>
      <w:r>
        <w:rPr>
          <w:color w:val="000000"/>
          <w:sz w:val="24"/>
        </w:rPr>
        <w:t xml:space="preserve">filing entitled </w:t>
      </w:r>
      <w:r>
        <w:rPr>
          <w:b/>
          <w:color w:val="000000"/>
          <w:sz w:val="24"/>
        </w:rPr>
        <w:t>“</w:t>
      </w:r>
      <w:r>
        <w:rPr>
          <w:b/>
          <w:sz w:val="24"/>
        </w:rPr>
        <w:t xml:space="preserve">NOTICE OF INTERVENTION, PROTEST AND REQUEST FOR HEARING OF THE PUBLIC UTILITIES COMMISSION OF THE STATE OF CALIFORNIA </w:t>
      </w:r>
    </w:p>
    <w:p>
      <w:pPr>
        <w:pStyle w:val="Normal"/>
        <w:rPr>
          <w:b/>
          <w:color w:val="000000"/>
          <w:sz w:val="24"/>
        </w:rPr>
      </w:pPr>
      <w:r>
        <w:rPr>
          <w:b/>
          <w:color w:val="000000"/>
          <w:sz w:val="24"/>
        </w:rPr>
      </w:r>
    </w:p>
    <w:p>
      <w:pPr>
        <w:pStyle w:val="Normal"/>
        <w:rPr>
          <w:color w:val="000000"/>
          <w:sz w:val="24"/>
        </w:rPr>
      </w:pPr>
      <w:r>
        <w:rPr>
          <w:color w:val="000000"/>
          <w:sz w:val="24"/>
        </w:rPr>
        <w:t>Thank you for your cooperation in this matter.</w:t>
      </w:r>
    </w:p>
    <w:p>
      <w:pPr>
        <w:pStyle w:val="Normal"/>
        <w:rPr>
          <w:color w:val="000000"/>
          <w:sz w:val="24"/>
        </w:rPr>
      </w:pPr>
      <w:r>
        <w:rPr>
          <w:color w:val="000000"/>
          <w:sz w:val="24"/>
        </w:rPr>
      </w:r>
    </w:p>
    <w:p>
      <w:pPr>
        <w:pStyle w:val="Normal"/>
        <w:rPr>
          <w:color w:val="000000"/>
          <w:sz w:val="24"/>
        </w:rPr>
      </w:pPr>
      <w:r>
        <w:rPr>
          <w:color w:val="000000"/>
          <w:sz w:val="24"/>
        </w:rPr>
        <w:t>Sincerely,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Sean Gallagher</w:t>
      </w:r>
    </w:p>
    <w:p>
      <w:pPr>
        <w:pStyle w:val="Normal"/>
        <w:rPr>
          <w:color w:val="000000"/>
          <w:sz w:val="24"/>
        </w:rPr>
      </w:pPr>
      <w:r>
        <w:rPr>
          <w:color w:val="000000"/>
          <w:sz w:val="24"/>
        </w:rPr>
        <w:t>Staff Counsel</w:t>
      </w:r>
    </w:p>
    <w:p>
      <w:pPr>
        <w:pStyle w:val="Normal"/>
        <w:rPr>
          <w:color w:val="000000"/>
          <w:sz w:val="24"/>
        </w:rPr>
      </w:pPr>
      <w:r>
        <w:rPr>
          <w:color w:val="000000"/>
          <w:sz w:val="24"/>
        </w:rPr>
      </w:r>
    </w:p>
    <w:p>
      <w:pPr>
        <w:pStyle w:val="Normal"/>
        <w:rPr>
          <w:color w:val="000000"/>
          <w:sz w:val="24"/>
        </w:rPr>
      </w:pPr>
      <w:r>
        <w:rPr>
          <w:color w:val="000000"/>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start="1" w:fmt="decimal"/>
          <w:formProt w:val="false"/>
          <w:titlePg/>
          <w:textDirection w:val="lrTb"/>
          <w:docGrid w:type="default" w:linePitch="360" w:charSpace="0"/>
        </w:sectPr>
        <w:pStyle w:val="Normal"/>
        <w:rPr>
          <w:color w:val="000000"/>
          <w:sz w:val="24"/>
        </w:rPr>
      </w:pPr>
      <w:r>
        <w:rPr>
          <w:color w:val="000000"/>
          <w:sz w:val="24"/>
        </w:rPr>
      </w:r>
    </w:p>
    <w:p>
      <w:pPr>
        <w:pStyle w:val="Normal"/>
        <w:ind w:start="720" w:end="0"/>
        <w:jc w:val="center"/>
        <w:rPr>
          <w:sz w:val="26"/>
        </w:rPr>
      </w:pPr>
      <w:r>
        <w:rPr>
          <w:sz w:val="26"/>
        </w:rPr>
        <w:t>UNITED STATES OF AMERICA</w:t>
      </w:r>
    </w:p>
    <w:p>
      <w:pPr>
        <w:pStyle w:val="Normal"/>
        <w:jc w:val="center"/>
        <w:rPr>
          <w:smallCaps/>
          <w:sz w:val="26"/>
        </w:rPr>
      </w:pPr>
      <w:r>
        <w:rPr>
          <w:smallCaps/>
          <w:sz w:val="26"/>
        </w:rPr>
        <w:t xml:space="preserve">BEFORE THE </w:t>
      </w:r>
    </w:p>
    <w:p>
      <w:pPr>
        <w:pStyle w:val="Normal"/>
        <w:jc w:val="center"/>
        <w:rPr>
          <w:smallCaps/>
        </w:rPr>
      </w:pPr>
      <w:r>
        <w:rPr>
          <w:smallCaps/>
          <w:sz w:val="26"/>
        </w:rPr>
        <w:t>FEDERAL ENERGY REGULATORY COMMISSION</w:t>
      </w:r>
    </w:p>
    <w:p>
      <w:pPr>
        <w:pStyle w:val="Normal"/>
        <w:jc w:val="center"/>
        <w:rPr>
          <w:smallCaps/>
        </w:rPr>
      </w:pPr>
      <w:r>
        <w:rPr>
          <w:smallCaps/>
        </w:rPr>
      </w:r>
    </w:p>
    <w:p>
      <w:pPr>
        <w:pStyle w:val="Normal"/>
        <w:jc w:val="center"/>
        <w:rPr>
          <w:smallCaps/>
        </w:rPr>
      </w:pPr>
      <w:r>
        <w:rPr>
          <w:smallCap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6" w:space="0" w:color="000000"/>
              <w:end w:val="single" w:sz="6" w:space="0" w:color="000000"/>
            </w:tcBorders>
          </w:tcPr>
          <w:p>
            <w:pPr>
              <w:pStyle w:val="BodyText2"/>
              <w:spacing w:lineRule="auto" w:line="240"/>
              <w:rPr/>
            </w:pPr>
            <w:r>
              <w:rPr/>
              <w:t>Colton Power L.P.</w:t>
            </w:r>
          </w:p>
          <w:p>
            <w:pPr>
              <w:pStyle w:val="Caption"/>
              <w:rPr/>
            </w:pPr>
            <w:r>
              <w:rPr/>
            </w:r>
          </w:p>
        </w:tc>
        <w:tc>
          <w:tcPr>
            <w:tcW w:w="4788" w:type="dxa"/>
            <w:tcBorders/>
          </w:tcPr>
          <w:p>
            <w:pPr>
              <w:pStyle w:val="Normal"/>
              <w:jc w:val="center"/>
              <w:rPr>
                <w:sz w:val="26"/>
              </w:rPr>
            </w:pPr>
            <w:r>
              <w:rPr>
                <w:sz w:val="26"/>
              </w:rPr>
              <w:t>Docket No. ER01-3068-000</w:t>
            </w:r>
          </w:p>
          <w:p>
            <w:pPr>
              <w:pStyle w:val="Caption"/>
              <w:rPr/>
            </w:pPr>
            <w:r>
              <w:rPr/>
              <w:t xml:space="preserve"> </w:t>
            </w:r>
          </w:p>
        </w:tc>
      </w:tr>
    </w:tbl>
    <w:p>
      <w:pPr>
        <w:pStyle w:val="Normal"/>
        <w:rPr>
          <w:sz w:val="28"/>
        </w:rPr>
      </w:pPr>
      <w:r>
        <w:rPr>
          <w:sz w:val="28"/>
        </w:rPr>
      </w:r>
    </w:p>
    <w:p>
      <w:pPr>
        <w:pStyle w:val="Brief"/>
        <w:rPr>
          <w:b/>
          <w:sz w:val="24"/>
        </w:rPr>
      </w:pPr>
      <w:r>
        <w:rPr>
          <w:b/>
          <w:sz w:val="24"/>
        </w:rPr>
        <w:t xml:space="preserve">NOTICE OF INTERVENTION, PROTEST AND REQUEST FOR HEARING OF THE PUBLIC UTILITIES COMMISSION OF THE STATE OF CALIFORNIA </w:t>
      </w:r>
    </w:p>
    <w:p>
      <w:pPr>
        <w:pStyle w:val="Brief"/>
        <w:rPr>
          <w:b/>
          <w:sz w:val="24"/>
        </w:rPr>
      </w:pPr>
      <w:r>
        <w:rPr>
          <w:b/>
          <w:sz w:val="24"/>
        </w:rPr>
      </w:r>
    </w:p>
    <w:p>
      <w:pPr>
        <w:pStyle w:val="BodyText"/>
        <w:rPr/>
      </w:pPr>
      <w:r>
        <w:rPr/>
        <w:t xml:space="preserve">Pursuant to Rules 211, 212 and 214(a)(2) of the Rules of Practice and Procedure (“Rules”) of the Federal Energy Regulatory Commission (“FERC”), the Public Utilities Commission of the State of California (“CPUC”) hereby gives notice of its intervention in the above-docketed proceedings, protests the filing, provides comments, and requests that FERC set the matter for a § 205 hearing.  The CPUC is a constitutionally-established agency charged with the responsibility for regulating natural gas and electric corporations within the State of California.  In addition, the CPUC has a statutory mandate to represent the interests of natural gas and electric consumers throughout California in proceedings before the FERC. </w:t>
      </w:r>
    </w:p>
    <w:p>
      <w:pPr>
        <w:pStyle w:val="BodyText"/>
        <w:rPr/>
      </w:pPr>
      <w:r>
        <w:rPr/>
        <w:t xml:space="preserve">On September 14, 2001, Colton Power L.P. (“Colton”) tendered for filing pursuant to § 205(c) of the Federal Power Act (“FPA”) and § 35.1(a) of the Regulations thereunder a Master Power Purchase and Sale Agreement between Colton and the California Department of Water Resources (“CDWR”) (the “Agreement”) in the above-referenced docket.  </w:t>
      </w:r>
    </w:p>
    <w:p>
      <w:pPr>
        <w:pStyle w:val="BodyText"/>
        <w:rPr/>
      </w:pPr>
      <w:r>
        <w:rPr/>
        <w:t>The CPUC protests the filing.  There is substantial uncontroverted evidence that Colton, like other suppliers, possessed market power at the time that the Agreement was negotiated and entered into.  For instance, forecasts issued this spring, by the California Independent System Operator Corp. and others, predicted many hours of rotating outages in California.  These facts suggest that CDWR may have felt obligated to agree to rates, terms and conditions which are not just and reasonable.  Finally, PPM simply has not demonstrated that the prices, terms, and conditions in this contract are just and reasonable.  FERC should set the matter for hearing to make such determination.</w:t>
      </w:r>
    </w:p>
    <w:p>
      <w:pPr>
        <w:pStyle w:val="BodyText"/>
        <w:rPr/>
      </w:pPr>
      <w:r>
        <w:rPr/>
        <w:t>FERC has repeatedly determined that the California energy markets have not been workably competitive, and do not produce just and reasonable prices.</w:t>
      </w:r>
      <w:r>
        <w:rPr>
          <w:rStyle w:val="FootnoteCharacters"/>
          <w:rStyle w:val="FootnoteReference"/>
        </w:rPr>
        <w:footnoteReference w:id="2"/>
      </w:r>
      <w:r>
        <w:rPr/>
        <w:t xml:space="preserve">  In the March 9 Order and several subsequent notices, FERC has ordered refunds of unjust and unreasonable charges.  The level of these refunds will increase under FERC’s June 19 and July 25 Orders, in which FERC has conceded that its prior efforts incompletely mitigated market power in the California markets, and ordered refunds to be calculated for all hours over an eight month period which includes the period during which this contract was negotiated.  </w:t>
      </w:r>
    </w:p>
    <w:p>
      <w:pPr>
        <w:pStyle w:val="BodyText"/>
        <w:rPr/>
      </w:pPr>
      <w:r>
        <w:rPr/>
        <w:t>Moreover, as the CPUC has previously pointed out,</w:t>
      </w:r>
      <w:r>
        <w:rPr>
          <w:rStyle w:val="FootnoteCharacters"/>
          <w:rStyle w:val="FootnoteReference"/>
        </w:rPr>
        <w:footnoteReference w:id="3"/>
      </w:r>
      <w:r>
        <w:rPr/>
        <w:t xml:space="preserve"> market power in spot markets translates into market power in forward markets as well.  Dr. Frank Wolak, the chair of the Market Surveillance Committee, made this same point in an article which appeared recently in the (San Diego) North County Times.</w:t>
      </w:r>
      <w:r>
        <w:rPr>
          <w:rStyle w:val="FootnoteCharacters"/>
          <w:rStyle w:val="FootnoteReference"/>
        </w:rPr>
        <w:footnoteReference w:id="4"/>
      </w:r>
      <w:r>
        <w:rPr/>
        <w:t xml:space="preserve">  FERC came to the same conclusion in the November 1, Order, saying that “higher spot prices in turn affect the prices in forward markets.”  November 1, Order, slip op. at 38.  FERC’s conclusion that spot market prices have been unjust and unreasonable, along with its concession that spot prices affect forward prices, lead to the presumption that forward prices agreed to this spring were affected by market power and thus may not be just and reasonable.</w:t>
      </w:r>
      <w:r>
        <w:rPr>
          <w:rStyle w:val="FootnoteCharacters"/>
          <w:rStyle w:val="FootnoteReference"/>
        </w:rPr>
        <w:footnoteReference w:id="5"/>
      </w:r>
      <w:r>
        <w:rPr/>
        <w:t xml:space="preserve">  Like prices, contract terms and conditions may be affected by parties’ unequal bargaining power.  </w:t>
      </w:r>
      <w:r>
        <w:rPr>
          <w:u w:val="single"/>
        </w:rPr>
        <w:t>Transmission Access Policy Study Group v. FERC</w:t>
      </w:r>
      <w:r>
        <w:rPr/>
        <w:t>, 225 F.3d 667, 709-712 (D.C. Cir. 2000).  The terms and conditions of the Agreement have not been shown to be just and reasonable, and may not be just and reasonable.  Therefore, the CPUC respectfully requests that the FERC set these issues for a §205 hearing.</w:t>
      </w:r>
    </w:p>
    <w:p>
      <w:pPr>
        <w:pStyle w:val="Normal"/>
        <w:ind w:start="4320" w:end="0"/>
        <w:rPr>
          <w:rStyle w:val="LineNumber"/>
          <w:sz w:val="24"/>
        </w:rPr>
      </w:pPr>
      <w:r>
        <w:rPr/>
      </w:r>
    </w:p>
    <w:p>
      <w:pPr>
        <w:pStyle w:val="Normal"/>
        <w:ind w:start="4320" w:end="0"/>
        <w:rPr/>
      </w:pPr>
      <w:r>
        <w:rPr>
          <w:rStyle w:val="LineNumber"/>
          <w:sz w:val="24"/>
        </w:rPr>
        <w:t>Respectfully submitted,</w:t>
      </w:r>
    </w:p>
    <w:p>
      <w:pPr>
        <w:pStyle w:val="Normal"/>
        <w:ind w:start="4320" w:end="0"/>
        <w:rPr>
          <w:rStyle w:val="LineNumber"/>
          <w:sz w:val="24"/>
        </w:rPr>
      </w:pPr>
      <w:r>
        <w:rPr/>
      </w:r>
    </w:p>
    <w:p>
      <w:pPr>
        <w:pStyle w:val="Normal"/>
        <w:ind w:start="4320" w:end="0"/>
        <w:rPr/>
      </w:pPr>
      <w:r>
        <w:rPr>
          <w:rStyle w:val="LineNumber"/>
          <w:sz w:val="24"/>
        </w:rPr>
        <w:t>GARY M. COHEN</w:t>
      </w:r>
    </w:p>
    <w:p>
      <w:pPr>
        <w:pStyle w:val="Normal"/>
        <w:ind w:start="4320" w:end="0"/>
        <w:rPr/>
      </w:pPr>
      <w:r>
        <w:rPr>
          <w:rStyle w:val="LineNumber"/>
          <w:sz w:val="24"/>
        </w:rPr>
        <w:t xml:space="preserve">AROCLES AGUILAR </w:t>
      </w:r>
    </w:p>
    <w:p>
      <w:pPr>
        <w:pStyle w:val="Normal"/>
        <w:ind w:start="4320" w:end="0"/>
        <w:rPr/>
      </w:pPr>
      <w:r>
        <w:rPr>
          <w:rStyle w:val="LineNumber"/>
          <w:sz w:val="24"/>
        </w:rPr>
        <w:t>SEAN H. GALLAGHER</w:t>
      </w:r>
    </w:p>
    <w:p>
      <w:pPr>
        <w:pStyle w:val="Normal"/>
        <w:ind w:start="4320" w:end="0"/>
        <w:rPr>
          <w:rStyle w:val="LineNumber"/>
          <w:sz w:val="24"/>
        </w:rPr>
      </w:pPr>
      <w:r>
        <w:rPr/>
      </w:r>
    </w:p>
    <w:p>
      <w:pPr>
        <w:pStyle w:val="Normal"/>
        <w:ind w:start="4320" w:end="0"/>
        <w:rPr>
          <w:rStyle w:val="LineNumber"/>
          <w:sz w:val="24"/>
        </w:rPr>
      </w:pPr>
      <w:r>
        <w:rPr/>
      </w:r>
    </w:p>
    <w:p>
      <w:pPr>
        <w:pStyle w:val="Normal"/>
        <w:ind w:start="3600" w:end="0"/>
        <w:rPr/>
      </w:pPr>
      <w:r>
        <w:rPr>
          <w:rStyle w:val="LineNumber"/>
          <w:sz w:val="24"/>
        </w:rPr>
        <w:t>By:</w:t>
        <w:tab/>
      </w:r>
    </w:p>
    <w:p>
      <w:pPr>
        <w:pStyle w:val="Normal"/>
        <w:ind w:start="4320" w:end="0"/>
        <w:rPr/>
      </w:pPr>
      <w:r>
        <w:rPr>
          <w:rStyle w:val="LineNumber"/>
          <w:sz w:val="24"/>
        </w:rPr>
        <w:t>_______________________________</w:t>
      </w:r>
    </w:p>
    <w:p>
      <w:pPr>
        <w:pStyle w:val="Normal"/>
        <w:ind w:firstLine="720" w:start="4320" w:end="0"/>
        <w:rPr/>
      </w:pPr>
      <w:r>
        <w:rPr>
          <w:rStyle w:val="LineNumber"/>
          <w:sz w:val="24"/>
        </w:rPr>
        <w:t>SEAN H. GALLAGHER</w:t>
      </w:r>
    </w:p>
    <w:p>
      <w:pPr>
        <w:pStyle w:val="Normal"/>
        <w:ind w:start="4320" w:end="0"/>
        <w:rPr>
          <w:rStyle w:val="LineNumber"/>
          <w:sz w:val="24"/>
        </w:rPr>
      </w:pPr>
      <w:r>
        <w:rPr/>
      </w:r>
    </w:p>
    <w:p>
      <w:pPr>
        <w:pStyle w:val="Normal"/>
        <w:ind w:start="4320" w:end="0"/>
        <w:rPr/>
      </w:pPr>
      <w:r>
        <w:rPr>
          <w:rStyle w:val="LineNumber"/>
          <w:sz w:val="24"/>
        </w:rPr>
        <w:t xml:space="preserve">Attorneys for the Public Utilities Commission </w:t>
      </w:r>
    </w:p>
    <w:p>
      <w:pPr>
        <w:pStyle w:val="Normal"/>
        <w:ind w:start="4320" w:end="0"/>
        <w:rPr/>
      </w:pPr>
      <w:r>
        <w:rPr>
          <w:rStyle w:val="LineNumber"/>
          <w:sz w:val="24"/>
        </w:rPr>
        <w:t>of the State of California</w:t>
      </w:r>
    </w:p>
    <w:p>
      <w:pPr>
        <w:pStyle w:val="Normal"/>
        <w:ind w:start="4320" w:end="0"/>
        <w:rPr>
          <w:rStyle w:val="LineNumber"/>
          <w:sz w:val="24"/>
        </w:rPr>
      </w:pPr>
      <w:r>
        <w:rPr/>
      </w:r>
    </w:p>
    <w:p>
      <w:pPr>
        <w:pStyle w:val="Normal"/>
        <w:ind w:start="4320" w:end="0"/>
        <w:rPr/>
      </w:pPr>
      <w:r>
        <w:rPr>
          <w:rStyle w:val="LineNumber"/>
          <w:sz w:val="24"/>
        </w:rPr>
        <w:t>505 Van Ness Ave., Room 5035</w:t>
      </w:r>
    </w:p>
    <w:p>
      <w:pPr>
        <w:pStyle w:val="Normal"/>
        <w:ind w:start="4320" w:end="0"/>
        <w:rPr/>
      </w:pPr>
      <w:r>
        <w:rPr>
          <w:rStyle w:val="LineNumber"/>
          <w:sz w:val="24"/>
        </w:rPr>
        <w:t>San Francisco, CA  94102</w:t>
      </w:r>
    </w:p>
    <w:p>
      <w:pPr>
        <w:pStyle w:val="Normal"/>
        <w:rPr/>
      </w:pPr>
      <w:r>
        <w:rPr>
          <w:rStyle w:val="LineNumber"/>
          <w:sz w:val="24"/>
        </w:rPr>
        <w:t>September 27, 2001</w:t>
        <w:tab/>
        <w:tab/>
        <w:tab/>
        <w:tab/>
        <w:t>Phone: (415) 703-2059</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152"/>
          <w:pgNumType w:start="1" w:fmt="decimal"/>
          <w:formProt w:val="false"/>
          <w:titlePg/>
          <w:textDirection w:val="lrTb"/>
          <w:docGrid w:type="default" w:linePitch="360" w:charSpace="0"/>
        </w:sectPr>
        <w:pStyle w:val="Normal"/>
        <w:rPr>
          <w:rStyle w:val="LineNumber"/>
          <w:sz w:val="24"/>
          <w:u w:val="single"/>
        </w:rPr>
      </w:pPr>
      <w:r>
        <w:rPr/>
      </w:r>
    </w:p>
    <w:p>
      <w:pPr>
        <w:pStyle w:val="BodyText"/>
        <w:ind w:hanging="0" w:end="0"/>
        <w:jc w:val="center"/>
        <w:rPr/>
      </w:pPr>
      <w:r>
        <w:rPr>
          <w:rStyle w:val="LineNumber"/>
          <w:b/>
          <w:bCs/>
          <w:u w:val="single"/>
        </w:rPr>
        <w:t>CERTIFICATE OF SERVICE</w:t>
      </w:r>
    </w:p>
    <w:p>
      <w:pPr>
        <w:pStyle w:val="BodyText"/>
        <w:ind w:hanging="0" w:end="0"/>
        <w:jc w:val="center"/>
        <w:rPr>
          <w:rStyle w:val="LineNumber"/>
          <w:b/>
          <w:bCs/>
          <w:u w:val="single"/>
        </w:rPr>
      </w:pPr>
      <w:r>
        <w:rPr/>
      </w:r>
    </w:p>
    <w:p>
      <w:pPr>
        <w:pStyle w:val="BodyText"/>
        <w:ind w:hanging="0" w:end="0"/>
        <w:rPr/>
      </w:pPr>
      <w:r>
        <w:rPr>
          <w:rStyle w:val="LineNumber"/>
        </w:rPr>
        <w:tab/>
        <w:t>I hereby certify that I have this day caused the foregoing document be served upon all known parties in this proceeding by mailing by first-class mail a copy thereof properly addressed to each such party.</w:t>
      </w:r>
    </w:p>
    <w:p>
      <w:pPr>
        <w:pStyle w:val="BodyText"/>
        <w:ind w:hanging="0" w:end="0"/>
        <w:rPr/>
      </w:pPr>
      <w:r>
        <w:rPr>
          <w:rStyle w:val="LineNumber"/>
        </w:rPr>
        <w:tab/>
        <w:t>Dated at San Francisco, California, this 27</w:t>
      </w:r>
      <w:r>
        <w:rPr>
          <w:rStyle w:val="LineNumber"/>
          <w:vertAlign w:val="superscript"/>
        </w:rPr>
        <w:t>th</w:t>
      </w:r>
      <w:r>
        <w:rPr>
          <w:rStyle w:val="LineNumber"/>
        </w:rPr>
        <w:t xml:space="preserve"> day of September, 2001.</w:t>
      </w:r>
    </w:p>
    <w:p>
      <w:pPr>
        <w:pStyle w:val="BodyText"/>
        <w:ind w:hanging="0" w:end="0"/>
        <w:rPr>
          <w:rStyle w:val="LineNumber"/>
        </w:rPr>
      </w:pPr>
      <w:r>
        <w:rPr/>
      </w:r>
    </w:p>
    <w:p>
      <w:pPr>
        <w:pStyle w:val="BodyText"/>
        <w:spacing w:lineRule="auto" w:line="240"/>
        <w:ind w:hanging="0" w:end="0"/>
        <w:rPr>
          <w:rStyle w:val="LineNumber"/>
          <w:sz w:val="26"/>
        </w:rPr>
      </w:pPr>
      <w:r>
        <w:rPr>
          <w:rStyle w:val="LineNumber"/>
        </w:rPr>
        <w:tab/>
        <w:tab/>
        <w:tab/>
        <w:tab/>
        <w:tab/>
        <w:tab/>
        <w:tab/>
      </w:r>
    </w:p>
    <w:p>
      <w:pPr>
        <w:pStyle w:val="BodyText"/>
        <w:spacing w:lineRule="auto" w:line="240"/>
        <w:ind w:hanging="0" w:end="0"/>
        <w:rPr>
          <w:rStyle w:val="LineNumber"/>
        </w:rPr>
      </w:pPr>
      <w:r>
        <w:rPr>
          <w:rStyle w:val="LineNumber"/>
        </w:rPr>
        <w:tab/>
        <w:tab/>
        <w:tab/>
        <w:tab/>
        <w:tab/>
        <w:tab/>
        <w:tab/>
      </w:r>
      <w:r>
        <w:rPr>
          <w:rStyle w:val="LineNumber"/>
          <w:u w:val="single"/>
        </w:rPr>
        <w:tab/>
        <w:tab/>
        <w:tab/>
        <w:tab/>
      </w:r>
    </w:p>
    <w:p>
      <w:pPr>
        <w:pStyle w:val="BodyText"/>
        <w:spacing w:lineRule="auto" w:line="240"/>
        <w:ind w:hanging="0" w:end="0"/>
        <w:rPr>
          <w:rStyle w:val="LineNumber"/>
          <w:u w:val="single"/>
        </w:rPr>
      </w:pPr>
      <w:r>
        <w:rPr>
          <w:rStyle w:val="LineNumber"/>
        </w:rPr>
        <w:tab/>
        <w:tab/>
        <w:tab/>
        <w:tab/>
        <w:tab/>
        <w:tab/>
        <w:tab/>
        <w:tab/>
        <w:t>Sean H. Gallagher</w:t>
      </w:r>
    </w:p>
    <w:p>
      <w:pPr>
        <w:pStyle w:val="BodyText"/>
        <w:spacing w:lineRule="auto" w:line="240"/>
        <w:rPr>
          <w:rStyle w:val="LineNumber"/>
          <w:u w:val="single"/>
        </w:rPr>
      </w:pPr>
      <w:r>
        <w:rPr/>
      </w:r>
    </w:p>
    <w:p>
      <w:pPr>
        <w:pStyle w:val="BodyText"/>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San Diego Gas &amp; Electric Company, et al.</w:t>
      </w:r>
      <w:r>
        <w:rPr/>
        <w:t xml:space="preserve">, 93 FERC ¶ 61,294 (2000) (“December 15 Order”); </w:t>
      </w:r>
      <w:r>
        <w:rPr>
          <w:u w:val="single"/>
        </w:rPr>
        <w:t>San Diego Gas &amp; Electric Company, et al.</w:t>
      </w:r>
      <w:r>
        <w:rPr/>
        <w:t xml:space="preserve">, 94 FERC ¶ 61,245 (2001) (“March 9 Order”); </w:t>
      </w:r>
      <w:r>
        <w:rPr>
          <w:u w:val="single"/>
        </w:rPr>
        <w:t>San Diego Gas &amp; Electric Company, et al.</w:t>
      </w:r>
      <w:r>
        <w:rPr/>
        <w:t xml:space="preserve">, 95 FERC ¶ 61,115 (2001) (“April 26 Order”); </w:t>
      </w:r>
      <w:r>
        <w:rPr>
          <w:u w:val="single"/>
        </w:rPr>
        <w:t>San Diego Gas &amp; Electric Company, et al.</w:t>
      </w:r>
      <w:r>
        <w:rPr/>
        <w:t>, 95 FERC ¶ 61,418 (2001) (“June 19 Order”).</w:t>
        <w:br/>
      </w:r>
    </w:p>
  </w:footnote>
  <w:footnote w:id="3">
    <w:p>
      <w:pPr>
        <w:pStyle w:val="FootnoteText"/>
        <w:rPr/>
      </w:pPr>
      <w:r>
        <w:rPr>
          <w:rStyle w:val="FootnoteCharacters"/>
        </w:rPr>
        <w:footnoteRef/>
      </w:r>
      <w:r>
        <w:rPr/>
        <w:t xml:space="preserve"> </w:t>
      </w:r>
      <w:r>
        <w:rPr>
          <w:u w:val="single"/>
        </w:rPr>
        <w:t>See</w:t>
      </w:r>
      <w:r>
        <w:rPr/>
        <w:t xml:space="preserve"> Response of the Public Utilities Commission of the State of California to November 1, 2000 Order, and Request for Rehearing as to Issues Which Have Been Finally Determined (“November 22 Response”) at 21 (“Forward markets are influenced by spot markets.  When spot market prices are inflated by the exercise of market power, forward prices will track those inflated prices.  Under current market conditions, any plan which seeks to mitigate spot market pricing by relying, as FERC’s proposal does, on forward contracting, must also address the reasonableness of forward markets”).</w:t>
        <w:br/>
      </w:r>
    </w:p>
  </w:footnote>
  <w:footnote w:id="4">
    <w:p>
      <w:pPr>
        <w:pStyle w:val="FootnoteText"/>
        <w:rPr/>
      </w:pPr>
      <w:r>
        <w:rPr>
          <w:rStyle w:val="FootnoteCharacters"/>
        </w:rPr>
        <w:footnoteRef/>
      </w:r>
      <w:r>
        <w:rPr/>
        <w:t xml:space="preserve"> </w:t>
      </w:r>
      <w:r>
        <w:rPr>
          <w:u w:val="single"/>
        </w:rPr>
        <w:t>See</w:t>
      </w:r>
      <w:r>
        <w:rPr/>
        <w:t xml:space="preserve">, </w:t>
      </w:r>
      <w:hyperlink r:id="rId1">
        <w:r>
          <w:rPr>
            <w:rStyle w:val="Hyperlink"/>
          </w:rPr>
          <w:t>http://www.nctimes.com/news/2001/20010711/103105.html</w:t>
        </w:r>
      </w:hyperlink>
      <w:r>
        <w:rPr/>
        <w:t xml:space="preserve"> (“Unless FERC requires it to do so, a profit-seeking generator will not offer a long-term contract for delivery at prices it expects will yield less profit than it expects to earn from selling in the spot and shorter horizon forward markets over the duration of the long-term contract. . . . California paid for this market power on the installment plan, through higher prices in the later years of the contracts”).</w:t>
      </w:r>
    </w:p>
  </w:footnote>
  <w:footnote w:id="5">
    <w:p>
      <w:pPr>
        <w:pStyle w:val="FootnoteText"/>
        <w:rPr/>
      </w:pPr>
      <w:r>
        <w:rPr>
          <w:rStyle w:val="FootnoteCharacters"/>
        </w:rPr>
        <w:footnoteRef/>
      </w:r>
      <w:r>
        <w:rPr/>
        <w:t xml:space="preserve"> </w:t>
      </w:r>
      <w:r>
        <w:rPr/>
        <w:t xml:space="preserve">In addition, to the extent that the </w:t>
      </w:r>
      <w:r>
        <w:rPr>
          <w:u w:val="single"/>
        </w:rPr>
        <w:t>Mobile-Sierra</w:t>
      </w:r>
      <w:r>
        <w:rPr/>
        <w:t xml:space="preserve"> doctrine may apply, the prices, terms, and conditions may not be in the public interest.  </w:t>
      </w:r>
      <w:r>
        <w:rPr>
          <w:u w:val="single"/>
        </w:rPr>
        <w:t>Transmission Access Policy Study Group v. FERC</w:t>
      </w:r>
      <w:r>
        <w:rPr/>
        <w:t xml:space="preserve">, 225 F.3d 667, 709-710 (D.C. Cir. 2000).  (“Observing that the contracts in question ‘were entered into during an era in which transmission providers exercised monopoly control over access to their transmission facilities,’ FERC [in Order 888] based this finding on the unequal bargaining power between utilities and customers.  </w:t>
      </w:r>
      <w:r>
        <w:rPr>
          <w:u w:val="single"/>
        </w:rPr>
        <w:t>Id.</w:t>
      </w:r>
      <w:r>
        <w:rPr/>
        <w:t xml:space="preserve"> at 30,193.  Because ‘many of these contracts were the result of uneven bargaining power between customers and monopolist transmission providers,’ FERC reasoned, ‘the unprecedented competitive changes that have occurred (and are continuing to occur) in the industry may render their contracts to be no longer in the public interest or just and reasonable.’  </w:t>
      </w:r>
      <w:r>
        <w:rPr>
          <w:u w:val="single"/>
        </w:rPr>
        <w:t>Id.</w:t>
      </w:r>
      <w:r>
        <w:rPr/>
        <w:t>”).  As noted above, the contracts at issue here were entered into during a period when sellers were exercising extreme market power.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8280" w:leader="none"/>
        <w:tab w:val="left" w:pos="8370" w:leader="none"/>
        <w:tab w:val="right" w:pos="11070" w:leader="none"/>
      </w:tabs>
      <w:ind w:end="-720"/>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right" w:pos="11070" w:leader="none"/>
      </w:tabs>
      <w:spacing w:before="80" w:after="0"/>
      <w:rPr>
        <w:rFonts w:ascii="Arial" w:hAnsi="Arial" w:cs="Arial"/>
        <w:sz w:val="16"/>
      </w:rPr>
    </w:pPr>
    <w:r>
      <w:rPr>
        <w:rFonts w:cs="Arial" w:ascii="Arial" w:hAnsi="Arial"/>
        <w:sz w:val="16"/>
      </w:rPr>
    </w:r>
  </w:p>
  <w:p>
    <w:pPr>
      <w:pStyle w:val="Header"/>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1"/>
      </w:numPr>
      <w:spacing w:lineRule="auto" w:line="240" w:before="120" w:after="120"/>
      <w:ind w:firstLine="720" w:start="0" w:end="720"/>
      <w:outlineLvl w:val="0"/>
    </w:pPr>
    <w:rPr>
      <w:b/>
      <w:kern w:val="2"/>
    </w:rPr>
  </w:style>
  <w:style w:type="paragraph" w:styleId="Heading2">
    <w:name w:val="heading 2"/>
    <w:basedOn w:val="BodyText"/>
    <w:next w:val="BodyText"/>
    <w:qFormat/>
    <w:pPr>
      <w:keepNext w:val="true"/>
      <w:numPr>
        <w:ilvl w:val="1"/>
        <w:numId w:val="1"/>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2"/>
        <w:numId w:val="1"/>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3"/>
        <w:numId w:val="1"/>
      </w:numPr>
      <w:spacing w:lineRule="auto" w:line="240" w:before="120" w:after="120"/>
      <w:ind w:firstLine="720" w:start="0" w:end="1440"/>
      <w:outlineLvl w:val="3"/>
    </w:pPr>
    <w:rPr>
      <w:i/>
    </w:rPr>
  </w:style>
  <w:style w:type="paragraph" w:styleId="Heading5">
    <w:name w:val="heading 5"/>
    <w:basedOn w:val="Normal"/>
    <w:next w:val="Normal"/>
    <w:qFormat/>
    <w:pPr>
      <w:numPr>
        <w:ilvl w:val="4"/>
        <w:numId w:val="1"/>
      </w:numPr>
      <w:spacing w:before="120" w:after="12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3z0">
    <w:name w:val="WW8Num3z0"/>
    <w:qFormat/>
    <w:rPr/>
  </w:style>
  <w:style w:type="character" w:styleId="WW8Num4z0">
    <w:name w:val="WW8Num4z0"/>
    <w:qFormat/>
    <w:rPr>
      <w:rFonts w:ascii="Symbol" w:hAnsi="Symbol" w:cs="Symbol"/>
      <w:sz w:val="20"/>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pPr>
      <w:widowControl/>
      <w:bidi w:val="0"/>
      <w:spacing w:lineRule="auto" w:line="480"/>
      <w:ind w:firstLine="720" w:start="0" w:end="0"/>
    </w:pPr>
    <w:rPr>
      <w:rFonts w:ascii="Times New Roman" w:hAnsi="Times New Roman" w:eastAsia="Times New Roman" w:cs="Times New Roman"/>
      <w:color w:val="auto"/>
      <w:sz w:val="24"/>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keepLines/>
      <w:widowControl w:val="false"/>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8640" w:leader="dot"/>
      </w:tabs>
      <w:suppressAutoHyphens w:val="true"/>
      <w:spacing w:before="120" w:after="120"/>
      <w:ind w:hanging="245" w:start="245" w:end="1440"/>
    </w:pPr>
    <w:rPr>
      <w:b/>
      <w:caps/>
      <w:sz w:val="26"/>
      <w:lang w:val="en-CA" w:eastAsia="en-CA"/>
    </w:rPr>
  </w:style>
  <w:style w:type="paragraph" w:styleId="TOC2">
    <w:name w:val="toc 2"/>
    <w:basedOn w:val="Normal"/>
    <w:next w:val="Normal"/>
    <w:pPr>
      <w:tabs>
        <w:tab w:val="clear" w:pos="720"/>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720"/>
        <w:tab w:val="right" w:pos="8640" w:leader="dot"/>
      </w:tabs>
      <w:spacing w:before="0" w:after="120"/>
      <w:ind w:hanging="245" w:start="1109" w:end="1440"/>
    </w:pPr>
    <w:rPr>
      <w:lang w:val="en-CA" w:eastAsia="en-CA"/>
    </w:rPr>
  </w:style>
  <w:style w:type="paragraph" w:styleId="TOC4">
    <w:name w:val="toc 4"/>
    <w:basedOn w:val="Normal"/>
    <w:next w:val="Normal"/>
    <w:pPr>
      <w:tabs>
        <w:tab w:val="clear" w:pos="720"/>
        <w:tab w:val="right" w:pos="8640" w:leader="dot"/>
      </w:tabs>
      <w:ind w:hanging="0" w:start="480" w:end="0"/>
    </w:pPr>
    <w:rPr>
      <w:sz w:val="18"/>
    </w:rPr>
  </w:style>
  <w:style w:type="paragraph" w:styleId="TOC5">
    <w:name w:val="toc 5"/>
    <w:basedOn w:val="Normal"/>
    <w:next w:val="Normal"/>
    <w:pPr>
      <w:tabs>
        <w:tab w:val="clear" w:pos="720"/>
        <w:tab w:val="right" w:pos="8640" w:leader="dot"/>
      </w:tabs>
      <w:ind w:hanging="0" w:start="720" w:end="0"/>
    </w:pPr>
    <w:rPr>
      <w:sz w:val="18"/>
    </w:rPr>
  </w:style>
  <w:style w:type="paragraph" w:styleId="TOC6">
    <w:name w:val="toc 6"/>
    <w:basedOn w:val="Normal"/>
    <w:next w:val="Normal"/>
    <w:pPr>
      <w:tabs>
        <w:tab w:val="clear" w:pos="720"/>
        <w:tab w:val="right" w:pos="8640" w:leader="dot"/>
      </w:tabs>
      <w:ind w:hanging="0" w:start="960" w:end="0"/>
    </w:pPr>
    <w:rPr>
      <w:sz w:val="18"/>
    </w:rPr>
  </w:style>
  <w:style w:type="paragraph" w:styleId="TOC7">
    <w:name w:val="toc 7"/>
    <w:basedOn w:val="Normal"/>
    <w:next w:val="Normal"/>
    <w:pPr>
      <w:tabs>
        <w:tab w:val="clear" w:pos="720"/>
        <w:tab w:val="right" w:pos="8640" w:leader="dot"/>
      </w:tabs>
      <w:ind w:hanging="0" w:start="1200" w:end="0"/>
    </w:pPr>
    <w:rPr>
      <w:sz w:val="18"/>
    </w:rPr>
  </w:style>
  <w:style w:type="paragraph" w:styleId="TOC8">
    <w:name w:val="toc 8"/>
    <w:basedOn w:val="Normal"/>
    <w:next w:val="Normal"/>
    <w:pPr>
      <w:tabs>
        <w:tab w:val="clear" w:pos="720"/>
        <w:tab w:val="right" w:pos="8640" w:leader="dot"/>
      </w:tabs>
      <w:ind w:hanging="0" w:start="1440" w:end="0"/>
    </w:pPr>
    <w:rPr>
      <w:sz w:val="18"/>
    </w:rPr>
  </w:style>
  <w:style w:type="paragraph" w:styleId="TOC9">
    <w:name w:val="toc 9"/>
    <w:basedOn w:val="Normal"/>
    <w:next w:val="Normal"/>
    <w:pPr>
      <w:tabs>
        <w:tab w:val="clear" w:pos="720"/>
        <w:tab w:val="right" w:pos="864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2"/>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3"/>
      </w:numPr>
      <w:spacing w:before="0" w:after="120"/>
      <w:ind w:hanging="360" w:start="360" w:end="0"/>
    </w:pPr>
    <w:rPr/>
  </w:style>
  <w:style w:type="paragraph" w:styleId="Brief">
    <w:name w:val="Brief"/>
    <w:basedOn w:val="Normal"/>
    <w:qFormat/>
    <w:pPr>
      <w:jc w:val="center"/>
    </w:pPr>
    <w:rPr>
      <w:smallCaps/>
      <w:sz w:val="28"/>
    </w:rPr>
  </w:style>
  <w:style w:type="paragraph" w:styleId="BodyText2">
    <w:name w:val="Body Text 2"/>
    <w:basedOn w:val="Normal"/>
    <w:qFormat/>
    <w:pPr>
      <w:spacing w:lineRule="auto" w:line="480"/>
    </w:pPr>
    <w:rPr>
      <w:sz w:val="26"/>
    </w:rPr>
  </w:style>
  <w:style w:type="paragraph" w:styleId="PlainText">
    <w:name w:val="Plain Text"/>
    <w:basedOn w:val="Normal"/>
    <w:qFormat/>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nctimes.com/news/2001/20010711/103105.html"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Long FERC Pleading.dot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2001-10-01T17:01:00Z</dcterms:created>
  <dc:creator>Sean Gallagher</dc:creator>
  <dc:description/>
  <dc:language>en-CA</dc:language>
  <cp:lastModifiedBy>jthome</cp:lastModifiedBy>
  <cp:lastPrinted>2001-09-27T15:34:00Z</cp:lastPrinted>
  <dcterms:modified xsi:type="dcterms:W3CDTF">2001-10-01T17:01:00Z</dcterms:modified>
  <cp:revision>2</cp:revision>
  <dc:subject/>
  <dc:title>August 31, 2001</dc:title>
</cp:coreProperties>
</file>