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Collection Facilities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(Enron)</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COLLECTION FACILITIES Agreement</w:t>
      </w:r>
    </w:p>
    <w:p>
      <w:pPr>
        <w:pStyle w:val="Normal"/>
        <w:jc w:val="center"/>
        <w:rPr>
          <w:b/>
          <w:caps/>
          <w:spacing w:val="0"/>
        </w:rPr>
      </w:pPr>
      <w:r>
        <w:rPr>
          <w:b/>
          <w:caps/>
          <w:spacing w:val="0"/>
        </w:rPr>
      </w:r>
    </w:p>
    <w:p>
      <w:pPr>
        <w:pStyle w:val="BodyText"/>
        <w:rPr/>
      </w:pPr>
      <w:r>
        <w:rPr/>
        <w:t>This Collection Facilities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Enron</w:t>
      </w:r>
      <w:r>
        <w:rPr/>
        <w:t>").</w:t>
      </w:r>
    </w:p>
    <w:p>
      <w:pPr>
        <w:pStyle w:val="BodyText"/>
        <w:jc w:val="center"/>
        <w:rPr/>
      </w:pPr>
      <w:r>
        <w:rPr>
          <w:b/>
          <w:smallCaps/>
        </w:rPr>
        <w:t>Recitals</w:t>
      </w:r>
      <w:r>
        <w:rPr>
          <w:b/>
        </w:rPr>
        <w:t>:</w:t>
      </w:r>
    </w:p>
    <w:p>
      <w:pPr>
        <w:pStyle w:val="Normal"/>
        <w:ind w:firstLine="720" w:end="0"/>
        <w:jc w:val="both"/>
        <w:rPr/>
      </w:pPr>
      <w:r>
        <w:rPr>
          <w:smallCaps/>
        </w:rPr>
        <w:t>Whereas</w:t>
      </w:r>
      <w:r>
        <w:rPr/>
        <w:t xml:space="preserve">, Owner owns or controls certain coal bed methane reserves in the Pronghorn Creek Area of the Powder River Basin in Wyoming ; </w:t>
      </w:r>
    </w:p>
    <w:p>
      <w:pPr>
        <w:pStyle w:val="Normal"/>
        <w:jc w:val="both"/>
        <w:rPr/>
      </w:pPr>
      <w:r>
        <w:rPr/>
      </w:r>
    </w:p>
    <w:p>
      <w:pPr>
        <w:pStyle w:val="Normal"/>
        <w:ind w:firstLine="720" w:end="0"/>
        <w:jc w:val="both"/>
        <w:rPr/>
      </w:pPr>
      <w:r>
        <w:rPr>
          <w:smallCaps/>
        </w:rPr>
        <w:t>Whereas</w:t>
      </w:r>
      <w:r>
        <w:rPr/>
        <w:t>, Owner has entered into the Gathering Services Agreement to move such coal bed methane gas production from the inlet of certain reciprocating compressors connected to the Fort Union Gathering Header; and</w:t>
      </w:r>
    </w:p>
    <w:p>
      <w:pPr>
        <w:pStyle w:val="Normal"/>
        <w:jc w:val="both"/>
        <w:rPr/>
      </w:pPr>
      <w:r>
        <w:rPr/>
      </w:r>
    </w:p>
    <w:p>
      <w:pPr>
        <w:pStyle w:val="Normal"/>
        <w:jc w:val="both"/>
        <w:rPr/>
      </w:pPr>
      <w:r>
        <w:rPr/>
        <w:tab/>
      </w:r>
      <w:r>
        <w:rPr>
          <w:smallCaps/>
        </w:rPr>
        <w:t>Whereas</w:t>
      </w:r>
      <w:r>
        <w:rPr/>
        <w:t>, Owner desires to design, construct, and install compressors, lines, facilities, and appurtenances thereto that are to be used to collect and move coal bed methane gas production from the wellhead(s) to the inlet of those certain reciprocating compressors;</w:t>
      </w:r>
    </w:p>
    <w:p>
      <w:pPr>
        <w:pStyle w:val="Normal"/>
        <w:jc w:val="both"/>
        <w:rPr/>
      </w:pPr>
      <w:r>
        <w:rPr/>
      </w:r>
    </w:p>
    <w:p>
      <w:pPr>
        <w:pStyle w:val="Normal"/>
        <w:jc w:val="both"/>
        <w:rPr/>
      </w:pPr>
      <w:r>
        <w:rPr/>
        <w:tab/>
      </w:r>
      <w:r>
        <w:rPr>
          <w:smallCaps/>
        </w:rPr>
        <w:t>Whereas</w:t>
      </w:r>
      <w:r>
        <w:rPr/>
        <w:t>, Owner desires to Enron to provide funding to Owner in order for Owner to design, construct, and install such facilities; and</w:t>
      </w:r>
    </w:p>
    <w:p>
      <w:pPr>
        <w:pStyle w:val="Normal"/>
        <w:jc w:val="both"/>
        <w:rPr/>
      </w:pPr>
      <w:r>
        <w:rPr/>
      </w:r>
    </w:p>
    <w:p>
      <w:pPr>
        <w:pStyle w:val="BodyText"/>
        <w:rPr/>
      </w:pPr>
      <w:r>
        <w:rPr>
          <w:smallCaps/>
        </w:rPr>
        <w:t>Whereas</w:t>
      </w:r>
      <w:r>
        <w:rPr/>
        <w:t>, Enron desires to provide such funding in accordance with the terms and conditions of this Agreement.</w:t>
      </w:r>
    </w:p>
    <w:p>
      <w:pPr>
        <w:pStyle w:val="Normal"/>
        <w:spacing w:before="120" w:after="0"/>
        <w:ind w:firstLine="630" w:end="0"/>
        <w:jc w:val="both"/>
        <w:rPr/>
      </w:pPr>
      <w:r>
        <w:rPr>
          <w:smallCaps/>
        </w:rPr>
        <w:t>Now, Therefore</w:t>
      </w:r>
      <w:r>
        <w:rPr/>
        <w:t>, in consideration of the representations, covenants, and conditions herein contained, Enron and Owner hereby agree as follows:</w:t>
      </w:r>
    </w:p>
    <w:p>
      <w:pPr>
        <w:pStyle w:val="Normal"/>
        <w:rPr/>
      </w:pPr>
      <w:r>
        <w:rPr/>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moved through the Collection Facilities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Collection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Collection Facilities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Enron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Heading2"/>
        <w:numPr>
          <w:ilvl w:val="1"/>
          <w:numId w:val="2"/>
        </w:numPr>
        <w:rPr/>
      </w:pPr>
      <w:r>
        <w:rPr>
          <w:b/>
          <w:u w:val="single"/>
        </w:rPr>
        <w:t>Owner’s Commitment of Gas</w:t>
      </w:r>
      <w:r>
        <w:rPr>
          <w:b/>
        </w:rPr>
        <w:t xml:space="preserve">.  </w:t>
      </w:r>
      <w:r>
        <w:rPr/>
        <w:t xml:space="preserve">Except as expressly excepted in </w:t>
      </w:r>
      <w:r>
        <w:rPr>
          <w:u w:val="single"/>
        </w:rPr>
        <w:t>Exhibit A</w:t>
      </w:r>
      <w:r>
        <w:rPr/>
        <w:t>,</w:t>
      </w:r>
      <w:r>
        <w:rPr>
          <w:b/>
        </w:rPr>
        <w:t xml:space="preserve"> </w:t>
      </w:r>
      <w:r>
        <w:rPr/>
        <w:t>Owner hereby exclusively commits and dedicates to move through the Collection Facilities, subject to Owner’s Reservations below, all of Owner’s Reserves, in and under the Reserve Commitment Area.  Owner agrees not to move through any other facilities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Enron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Normal"/>
        <w:rPr/>
      </w:pPr>
      <w:r>
        <w:rPr/>
        <w:t>to pod, communitize or unitize Owner’s Reserves, in which event this Agreement shall cover Owner’s interests therein.</w:t>
      </w:r>
    </w:p>
    <w:p>
      <w:pPr>
        <w:pStyle w:val="Normal"/>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Receipt Points</w:t>
      </w:r>
    </w:p>
    <w:p>
      <w:pPr>
        <w:pStyle w:val="Heading2"/>
        <w:numPr>
          <w:ilvl w:val="0"/>
          <w:numId w:val="0"/>
        </w:numPr>
        <w:ind w:firstLine="720" w:start="0" w:end="0"/>
        <w:rPr/>
      </w:pPr>
      <w:r>
        <w:rPr/>
        <w:t>The points at which Owner shall deliver gas into the Collection Facilities (“</w:t>
      </w:r>
      <w:r>
        <w:rPr>
          <w:u w:val="single"/>
        </w:rPr>
        <w:t>Receipt Points</w:t>
      </w:r>
      <w:r>
        <w:rPr/>
        <w:t xml:space="preserve">”) are as specified in </w:t>
      </w:r>
      <w:r>
        <w:rPr>
          <w:u w:val="single"/>
        </w:rPr>
        <w:t>Exhibit B</w:t>
      </w:r>
      <w:r>
        <w:rPr/>
        <w:t xml:space="preserve"> attached hereto. </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xml:space="preserve">"), unless otherwise terminated in accordance with the terms of this Agreement and shall remain in effect until Owner obligations under Article 4 of this Agreement have been completed and paid in full by Owner.  All indemnity, audit rights shall survive the termination or expiration hereof. </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 Fee</w:t>
      </w:r>
    </w:p>
    <w:p>
      <w:pPr>
        <w:pStyle w:val="Heading2"/>
        <w:numPr>
          <w:ilvl w:val="0"/>
          <w:numId w:val="0"/>
        </w:numPr>
        <w:ind w:firstLine="720" w:start="0" w:end="0"/>
        <w:rPr/>
      </w:pPr>
      <w:r>
        <w:rPr/>
        <w:t>The Owner shall pay to Enron a Collection Facilities fee ("</w:t>
      </w:r>
      <w:r>
        <w:rPr>
          <w:u w:val="single"/>
        </w:rPr>
        <w:t>Collection Facilities Fee</w:t>
      </w:r>
      <w:r>
        <w:rPr/>
        <w:t xml:space="preserve">") in consideration of the funding obligations of Enron under Article VII of this Agreement.  The Collection Facilities Fee shall be $0.04 per Mcf for (i) all quantities of Gas moved through the Collection Facilities measured at the Receipt Point(s).  Measurement of the Gas at the Receipt Point(s) shall be done in accordance with </w:t>
      </w:r>
      <w:r>
        <w:rPr>
          <w:u w:val="single"/>
        </w:rPr>
        <w:t>Exhibit B</w:t>
      </w:r>
      <w:r>
        <w:rPr/>
        <w:t xml:space="preserve"> of this Agreement.  The Collection Facilities Fee under this Article 4 shall terminate upon the receipt by Enron of sufficient Collection Facilities Fees which result in a return of and a 15% rate of return on (adjusted for time value of money) (the "</w:t>
      </w:r>
      <w:r>
        <w:rPr>
          <w:u w:val="single"/>
        </w:rPr>
        <w:t>Return</w:t>
      </w:r>
      <w:r>
        <w:rPr/>
        <w:t xml:space="preserve">") the Funded Amount.  The Return on the Funded Amounts shall be calculated from the day of their funding in accordance with Section 6.3 of this Agreement.  Enron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early pay the Return to Provider prior to such satisfaction under this Article 4.  Enron shall provide Owner with a statement showing the required early payout amount for the Return within 15 days of Enron's receipt of Owner's notice of election of early payout.  Owner shall pay to Enron such early payout amount within 10 days of its receipt of such notice.   </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Default</w:t>
      </w:r>
    </w:p>
    <w:p>
      <w:pPr>
        <w:pStyle w:val="Heading2"/>
        <w:numPr>
          <w:ilvl w:val="0"/>
          <w:numId w:val="0"/>
        </w:numPr>
        <w:ind w:firstLine="720" w:start="0" w:end="0"/>
        <w:rPr/>
      </w:pPr>
      <w:r>
        <w:rPr/>
        <w:t>If one of the following events shall occur and be continuing there shall have occurred an "</w:t>
      </w:r>
      <w:r>
        <w:rPr>
          <w:u w:val="single"/>
        </w:rPr>
        <w:t>Event of Default</w:t>
      </w:r>
      <w:r>
        <w:rPr/>
        <w:t>":</w:t>
      </w:r>
    </w:p>
    <w:p>
      <w:pPr>
        <w:pStyle w:val="Heading2"/>
        <w:numPr>
          <w:ilvl w:val="0"/>
          <w:numId w:val="0"/>
        </w:numPr>
        <w:ind w:firstLine="720" w:start="0" w:end="0"/>
        <w:rPr/>
      </w:pPr>
      <w:r>
        <w:rPr/>
        <w:t>(i)</w:t>
        <w:tab/>
        <w:t xml:space="preserve">Owner is in default on payment of any amount due for the Collection Facilities Fee rendered hereunder for a period of thirty (30) Days, then upon fifteen (15) Days written notice thereof; or </w:t>
      </w:r>
    </w:p>
    <w:p>
      <w:pPr>
        <w:pStyle w:val="Heading2"/>
        <w:numPr>
          <w:ilvl w:val="0"/>
          <w:numId w:val="0"/>
        </w:numPr>
        <w:ind w:firstLine="720" w:start="0" w:end="0"/>
        <w:rPr/>
      </w:pPr>
      <w:r>
        <w:rPr/>
        <w:t>(ii)</w:t>
        <w:tab/>
        <w:t>Any representation or warranty made by Owner in Section 6.5 shall prove to have been false or misleading as of the time made or shall during the term of this Agreement become false or misleading; or</w:t>
      </w:r>
    </w:p>
    <w:p>
      <w:pPr>
        <w:pStyle w:val="Heading2"/>
        <w:numPr>
          <w:ilvl w:val="0"/>
          <w:numId w:val="0"/>
        </w:numPr>
        <w:ind w:firstLine="720" w:start="0" w:end="0"/>
        <w:rPr/>
      </w:pPr>
      <w:r>
        <w:rPr/>
        <w:t>(iii)</w:t>
        <w:tab/>
        <w:t xml:space="preserve">Any representation or warranty made by Owner in Article 1 shall prove to have been false or misleading as of the time made or shall during the term of this Agreement become false or misleading.  </w:t>
      </w:r>
    </w:p>
    <w:p>
      <w:pPr>
        <w:pStyle w:val="Heading2"/>
        <w:numPr>
          <w:ilvl w:val="0"/>
          <w:numId w:val="0"/>
        </w:numPr>
        <w:ind w:hanging="0" w:start="0"/>
        <w:rPr/>
      </w:pPr>
      <w:r>
        <w:rPr/>
        <w:tab/>
        <w:t>Upon the occurrence of an Event of Default under this Article 4, the Return and all other amounts payable by Owner to Enron hereunder, shall immediately due and payable</w:t>
      </w:r>
      <w:r>
        <w:rPr>
          <w:b/>
        </w:rPr>
        <w:t xml:space="preserve"> </w:t>
      </w:r>
      <w:r>
        <w:rPr/>
        <w:t>without presentment, demand, protest, or other formalities of any kind, all of which are hereby expressly waived by the Owner.</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Enron:</w:t>
            </w:r>
          </w:p>
          <w:p>
            <w:pPr>
              <w:pStyle w:val="Normal"/>
              <w:spacing w:before="240" w:after="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rPr/>
            </w:pPr>
            <w:r>
              <w:rPr>
                <w:b/>
              </w:rPr>
              <w:t>Invoices</w:t>
            </w:r>
            <w:r>
              <w:rPr/>
              <w:t>:</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Construction and Funding</w:t>
      </w:r>
    </w:p>
    <w:p>
      <w:pPr>
        <w:pStyle w:val="Heading2"/>
        <w:numPr>
          <w:ilvl w:val="0"/>
          <w:numId w:val="0"/>
        </w:numPr>
        <w:ind w:firstLine="720" w:start="0" w:end="0"/>
        <w:rPr/>
      </w:pPr>
      <w:r>
        <w:rPr/>
        <w:t>Section 7.1</w:t>
      </w:r>
      <w:r>
        <w:rPr>
          <w:b/>
        </w:rPr>
        <w:tab/>
      </w:r>
      <w:r>
        <w:rPr>
          <w:b/>
          <w:u w:val="single"/>
        </w:rPr>
        <w:t>Construction</w:t>
      </w:r>
      <w:r>
        <w:rPr>
          <w:b/>
        </w:rPr>
        <w:t xml:space="preserve">.  </w:t>
      </w:r>
      <w:r>
        <w:rPr/>
        <w:t xml:space="preserve">Owner shall design, construct, and own the Collection Facilities in a good and workmanlike manner and in accordance with standard industry practices.  </w:t>
      </w:r>
    </w:p>
    <w:p>
      <w:pPr>
        <w:pStyle w:val="Heading2"/>
        <w:numPr>
          <w:ilvl w:val="0"/>
          <w:numId w:val="0"/>
        </w:numPr>
        <w:ind w:firstLine="720" w:start="0" w:end="0"/>
        <w:rPr/>
      </w:pPr>
      <w:r>
        <w:rPr/>
        <w:t>Section 7.2</w:t>
      </w:r>
      <w:r>
        <w:rPr>
          <w:b/>
        </w:rPr>
        <w:tab/>
      </w:r>
      <w:r>
        <w:rPr>
          <w:b/>
          <w:u w:val="single"/>
        </w:rPr>
        <w:t>Funding of Construction</w:t>
      </w:r>
      <w:r>
        <w:rPr>
          <w:b/>
        </w:rPr>
        <w:t xml:space="preserve">.  </w:t>
      </w:r>
      <w:r>
        <w:rPr/>
        <w:t>Enron shall contribute, in accordance with the procedures set forth in Section 7.3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t>Section 7.3</w:t>
      </w:r>
      <w:r>
        <w:rPr>
          <w:b/>
        </w:rPr>
        <w:tab/>
      </w:r>
      <w:r>
        <w:rPr>
          <w:b/>
          <w:u w:val="single"/>
        </w:rPr>
        <w:t>Construction Funding Procedure</w:t>
      </w:r>
      <w:r>
        <w:rPr>
          <w:b/>
        </w:rPr>
        <w:t xml:space="preserve">.  </w:t>
      </w:r>
      <w:r>
        <w:rPr/>
        <w:t>Owner shall provide to Enron a monthly summarized statement of construction costs and expenses incurred by Owner for the previous month for the Collection Facilities along with copies of original invoices and supporting documentation.  Enron shall fund to Owner the amount of all such summarized statements approved by Enron up to the Funded Amount, subject to the reasonable engineering and operational review by Enron of the Collection Facilities for including, without limitation, construction progress, system design, system capacity, quality review, and operational integrity.  If Enron's review reveals that the Collection Facilities are not capable of flowing Owner's Daily Deliverability of Gas in accordance with standard industry practices, Enron shall so notify Owner of such incapacity and Owner shall promptly make the necessary corrections before Enron shall fund any amounts under this Article 7.  Enron shall complete its review of all or a portion the Collection Facilities within 15 days of Owner notification that all or a portion of the Collection Facilities are completed.  Enron shall forward to Owner the funds for an approved summarized statement within 20 days of receipt thereof, subject to Enron's review and approval as above.</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Security Documents</w:t>
      </w:r>
    </w:p>
    <w:p>
      <w:pPr>
        <w:pStyle w:val="Heading2"/>
        <w:numPr>
          <w:ilvl w:val="0"/>
          <w:numId w:val="0"/>
        </w:numPr>
        <w:ind w:firstLine="720" w:start="0" w:end="0"/>
        <w:rPr/>
      </w:pPr>
      <w:r>
        <w:rPr/>
        <w:t>The obligation of Enron to fund any amounts under this Article 6 is subject to the receipt by the Enron of the Security Agreement duly executed and delivered by Owner and Enron.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 Representations and Warranties</w:t>
      </w:r>
    </w:p>
    <w:p>
      <w:pPr>
        <w:pStyle w:val="Heading2"/>
        <w:numPr>
          <w:ilvl w:val="0"/>
          <w:numId w:val="0"/>
        </w:numPr>
        <w:ind w:firstLine="720" w:start="0" w:end="0"/>
        <w:rPr/>
      </w:pPr>
      <w:r>
        <w:rPr/>
        <w:t>Owner represents and warrants that:</w:t>
      </w:r>
    </w:p>
    <w:p>
      <w:pPr>
        <w:pStyle w:val="Heading2"/>
        <w:numPr>
          <w:ilvl w:val="0"/>
          <w:numId w:val="0"/>
        </w:numPr>
        <w:ind w:firstLine="720" w:start="0" w:end="0"/>
        <w:rPr/>
      </w:pPr>
      <w:r>
        <w:rPr/>
        <w:t>a.  Owner owns good and marketable title to the Collection Facilities;</w:t>
      </w:r>
    </w:p>
    <w:p>
      <w:pPr>
        <w:pStyle w:val="Heading2"/>
        <w:numPr>
          <w:ilvl w:val="0"/>
          <w:numId w:val="0"/>
        </w:numPr>
        <w:ind w:firstLine="720" w:start="0" w:end="0"/>
        <w:rPr/>
      </w:pPr>
      <w:r>
        <w:rPr/>
        <w:t>b.  the Collection Facilities are free and clear of any liens and encumbrances;</w:t>
      </w:r>
    </w:p>
    <w:p>
      <w:pPr>
        <w:pStyle w:val="Heading2"/>
        <w:numPr>
          <w:ilvl w:val="0"/>
          <w:numId w:val="0"/>
        </w:numPr>
        <w:tabs>
          <w:tab w:val="clear" w:pos="720"/>
          <w:tab w:val="left" w:pos="1080" w:leader="none"/>
        </w:tabs>
        <w:ind w:firstLine="720" w:start="0" w:end="0"/>
        <w:rPr/>
      </w:pPr>
      <w:r>
        <w:rPr/>
        <w:t xml:space="preserve">c. </w:t>
        <w:tab/>
        <w:t xml:space="preserve">all governmental approvals, permits, and licenses required for the construction, operation, and maintenance of the Collection Facilities have been obtained and are in full force and effect; and </w:t>
      </w:r>
    </w:p>
    <w:p>
      <w:pPr>
        <w:pStyle w:val="Heading2"/>
        <w:numPr>
          <w:ilvl w:val="0"/>
          <w:numId w:val="0"/>
        </w:numPr>
        <w:ind w:firstLine="720" w:start="0" w:end="0"/>
        <w:rPr/>
      </w:pPr>
      <w:r>
        <w:rPr/>
        <w:t>d.  there are no environmental circumstances, conditions, or occurrences regarding the Collection Facilities that would cause the Collection Facilities to any restrictions, on ownership, use or transferability under any environmental law that would hinder or restrict the Owner or any other party from operating the Collection Facilities as intended hereunder.</w:t>
      </w:r>
    </w:p>
    <w:p>
      <w:pPr>
        <w:pStyle w:val="MimicLev1"/>
        <w:rPr/>
      </w:pPr>
      <w:r>
        <w:rPr/>
        <w:t>Article   X</w:t>
        <w:br/>
        <w:t>Operation and Maintenance</w:t>
      </w:r>
    </w:p>
    <w:p>
      <w:pPr>
        <w:pStyle w:val="MimicLev1"/>
        <w:jc w:val="both"/>
        <w:rPr/>
      </w:pPr>
      <w:r>
        <w:rPr>
          <w:caps w:val="false"/>
          <w:smallCaps w:val="false"/>
        </w:rPr>
        <w:t xml:space="preserve"> </w:t>
      </w:r>
      <w:r>
        <w:rPr>
          <w:caps w:val="false"/>
          <w:smallCaps w:val="false"/>
        </w:rPr>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caps w:val="false"/>
          <w:smallCaps w:val="false"/>
        </w:rPr>
      </w:pPr>
      <w:r>
        <w:rPr/>
        <w:t>Article XI</w:t>
        <w:br/>
        <w:t>Insurance</w:t>
      </w:r>
    </w:p>
    <w:p>
      <w:pPr>
        <w:pStyle w:val="BodyText"/>
        <w:rPr/>
      </w:pPr>
      <w:r>
        <w:rPr/>
        <w:t xml:space="preserve">Owner shall, at Owner's sole cost and expense, have and maintain insurance in such amounts, against such risks with such carriers and in such form as shall be satisfactory to Enron, such insurance requirements as set forth in Exhibit D.  </w:t>
      </w:r>
    </w:p>
    <w:p>
      <w:pPr>
        <w:pStyle w:val="Heading1"/>
        <w:numPr>
          <w:ilvl w:val="0"/>
          <w:numId w:val="2"/>
        </w:numPr>
        <w:ind w:hanging="0" w:start="0"/>
        <w:rPr/>
      </w:pPr>
      <w:r>
        <w:rPr/>
        <w:t>(Blue Text is "hidden")</w:t>
      </w:r>
    </w:p>
    <w:p>
      <w:pPr>
        <w:pStyle w:val="MimicLev1"/>
        <w:rPr/>
      </w:pPr>
      <w:r>
        <w:rPr/>
        <w:t>Article XII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Enron:</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third party receipt point as more specifically described on Exhibit 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B.</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Gathering Services Agreement</w:t>
      </w:r>
      <w:r>
        <w:rPr/>
        <w:t>" means the Gathering Services Agreement between Enron Midstream Services, L.L.C. and MTG Operating Company of even date herewith.</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B.</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Security Agreement</w:t>
      </w:r>
      <w:r>
        <w:rPr/>
        <w:t>" shall mean the Security Agreement to be entered into between Enron and Owner in substantially the form of Exhibit E.</w:t>
      </w:r>
    </w:p>
    <w:p>
      <w:pPr>
        <w:pStyle w:val="BodyText"/>
        <w:ind w:hanging="0" w:end="0"/>
        <w:rPr/>
      </w:pPr>
      <w:r>
        <w:rPr/>
        <w:t>"</w:t>
      </w:r>
      <w:r>
        <w:rPr>
          <w:b/>
          <w:u w:val="single"/>
        </w:rPr>
        <w:t>Specifications</w:t>
      </w:r>
      <w:r>
        <w:rPr/>
        <w:t>" shall mean the System Specifications and Procedures of Enron, as the same may be amended and or supplemented from time to time.</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b w:val="false"/>
        </w:rPr>
      </w:pPr>
      <w:r>
        <w:rPr/>
        <w:t>SECTION 1.</w:t>
        <w:tab/>
        <w:t>BILLING AND PAYMENT</w:t>
      </w:r>
    </w:p>
    <w:p>
      <w:pPr>
        <w:pStyle w:val="BodyText"/>
        <w:rPr/>
      </w:pPr>
      <w:r>
        <w:rPr/>
        <w:t>On or before the fifteenth (15</w:t>
      </w:r>
      <w:r>
        <w:rPr>
          <w:vertAlign w:val="superscript"/>
        </w:rPr>
        <w:t>th</w:t>
      </w:r>
      <w:r>
        <w:rPr/>
        <w:t>) Day of each calendar month, Owner will render to Enron a statement setting forth, in terms of Mcf's and MMBtu's, the total quantity of Gas received hereunder at the Receipt Point(s) during the immediately preceding Month and the total Collection Facilities Fee payable by Owner calculated in accordance with Article 4 of this Agreement.  Owner agrees to pay Enron by wire transfer (according to the instructions set forth in the applicable statement or invoice) the full amount payable according to such statement simultaneously with the rendering of such statement by  Owner.  In the event such quantities are estimated for any period, corrected statements shall be rendered by Owner and paid by Owner or refunded or credited by Enron,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Enron,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2</w:t>
      </w:r>
      <w:r>
        <w:rPr/>
        <w:fldChar w:fldCharType="end"/>
      </w:r>
      <w:r>
        <w:rPr/>
        <w:tab/>
        <w:t>ASSIGNMENT</w:t>
      </w:r>
    </w:p>
    <w:p>
      <w:pPr>
        <w:pStyle w:val="BodyText"/>
        <w:rPr/>
      </w:pPr>
      <w:r>
        <w:rPr/>
        <w:t xml:space="preserve">Owner shall not assign or transfer its rights hereunder or in Owner's Reserves without first obtaining Enron's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3</w:t>
      </w:r>
      <w:r>
        <w:rPr/>
        <w:fldChar w:fldCharType="end"/>
      </w:r>
      <w:r>
        <w:rPr/>
        <w:t xml:space="preserve"> </w:t>
        <w:tab/>
        <w:t>TAXES</w:t>
      </w:r>
    </w:p>
    <w:p>
      <w:pPr>
        <w:pStyle w:val="BodyText"/>
        <w:rPr/>
      </w:pPr>
      <w:r>
        <w:rPr/>
        <w:t>Owner agrees to reimburse Enron upon invoice for the full amount of any taxes or charges (of every kind and character except corporate franchise and excess profits taxes and taxes measured by net income) levied, assessed or fixed by any municipal or governmental authority against Enron or its business in connection with or attributable to the volumes, value or gross receipts from the movement of the Gas through the Collection Facilities or against such Collection Facilities or the act, right or privilege of ownership, production, severance, handling, transmission, compression, treating, distribution, sale, delivery or redelivery of such Gas, whether such tax or charge is based upon the volume, value or gross receipts from the movement of such Gas or upon some other basis.</w:t>
      </w:r>
    </w:p>
    <w:p>
      <w:pPr>
        <w:pStyle w:val="Sections"/>
        <w:numPr>
          <w:ilvl w:val="0"/>
          <w:numId w:val="0"/>
        </w:numPr>
        <w:ind w:hanging="0" w:start="0"/>
        <w:rPr>
          <w:b w:val="false"/>
        </w:rPr>
      </w:pPr>
      <w:r>
        <w:rPr/>
        <w:t>SECTION 3.</w:t>
        <w:tab/>
        <w:t>MISCELLANEOUS</w:t>
      </w:r>
    </w:p>
    <w:p>
      <w:pPr>
        <w:pStyle w:val="BodyText"/>
        <w:rPr/>
      </w:pPr>
      <w:r>
        <w:rPr/>
        <w:t>3.1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3.2</w:t>
        <w:tab/>
        <w:t>It is further agreed that no modification or change herein shall be enforceable unless reduced to writing and executed by both parties.</w:t>
      </w:r>
    </w:p>
    <w:p>
      <w:pPr>
        <w:pStyle w:val="BodyText"/>
        <w:rPr/>
      </w:pPr>
      <w:r>
        <w:rPr/>
        <w:t>3.3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3.4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3.5</w:t>
        <w:tab/>
        <w:t>In no event shall Enron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3.6</w:t>
        <w:tab/>
        <w:t>The provisions of this Agreement are severable, and if any portion of this Agreement is deemed legally invalid or unenforceable, the remainder of this Agreement shall survive and remain in full force and effect.</w:t>
      </w:r>
    </w:p>
    <w:p>
      <w:pPr>
        <w:pStyle w:val="BodyText"/>
        <w:rPr/>
      </w:pPr>
      <w:r>
        <w:rPr/>
        <w:t>3.7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3.8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Receipt Point(s)</w:t>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the Parties, the metering facilities to measure the volumes of Gas delivered at each Receipt Point(s) shall be maintained and operated or caused to be maintained and operated by Owner.  The Btu content of the Gas shall be determined by the facilities at the Receipt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shall be assumed to be the pressure value determined by Enron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through use of a continuous Gas sample accumulator, on premises analysis, or by spot samples taken at the Receipt Points at intervals determined to be appropriate by Enron.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Enron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FootnoteText"/>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INSURANCE REQUIREMENTS</w:t>
      </w:r>
    </w:p>
    <w:p>
      <w:pPr>
        <w:pStyle w:val="Normal"/>
        <w:tabs>
          <w:tab w:val="clear" w:pos="720"/>
          <w:tab w:val="center" w:pos="5400" w:leader="none"/>
        </w:tabs>
        <w:suppressAutoHyphens w:val="true"/>
        <w:spacing w:lineRule="exact" w:line="240"/>
        <w:jc w:val="both"/>
        <w:rPr>
          <w:rFonts w:ascii="Arial" w:hAnsi="Arial" w:cs="Arial"/>
          <w:spacing w:val="-2"/>
        </w:rPr>
      </w:pPr>
      <w:r>
        <w:rPr>
          <w:rFonts w:cs="Arial" w:ascii="Arial" w:hAnsi="Arial"/>
          <w:spacing w:val="-3"/>
        </w:rPr>
        <w:tab/>
      </w:r>
    </w:p>
    <w:p>
      <w:pPr>
        <w:pStyle w:val="BodyText"/>
        <w:rPr/>
      </w:pPr>
      <w:r>
        <w:rPr/>
        <w:t>Owner shall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BodyText3"/>
        <w:tabs>
          <w:tab w:val="clear" w:pos="243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Workers Compensation Insurance in full compliance with laws of the state(s) where the Collection Facilities are located.  These policies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ab/>
        <w:t>$1,000,000 Disease Each Employee (Minimum</w:t>
      </w:r>
      <w:r>
        <w:rPr>
          <w:b/>
          <w:spacing w:val="-2"/>
        </w:rPr>
        <w: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C. Commercial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Commercial General Liability insurance, providing coverage for: explosion, collapse and underground (“XCU”) hazards, damage to property of others; Contractual Liability; Contractor's Protective Liability (if subcontracting is authorized) and Products and Completed Operations (for a minimum of two years after acceptance of the execution of this Agreement).  Watercraft exclusions deleted (if the Collection Facilities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b/>
          <w:spacing w:val="-3"/>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Bodily Injury and</w:t>
        <w:tab/>
        <w:t>$</w:t>
      </w:r>
      <w:r>
        <w:rPr>
          <w:spacing w:val="-2"/>
          <w:u w:val="single"/>
        </w:rPr>
        <w:t> 10,000,000   </w:t>
      </w:r>
      <w:r>
        <w:rPr>
          <w:spacing w:val="-2"/>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numPr>
          <w:ilvl w:val="0"/>
          <w:numId w:val="3"/>
        </w:num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u w:val="single"/>
        </w:rPr>
      </w:pPr>
      <w:r>
        <w:rPr>
          <w:spacing w:val="-2"/>
          <w:u w:val="single"/>
        </w:rPr>
        <w:t xml:space="preserve">Property Insurance </w:t>
      </w:r>
    </w:p>
    <w:p>
      <w:pPr>
        <w:pStyle w:val="BodyText2"/>
        <w:rPr>
          <w:rFonts w:ascii="Times New Roman" w:hAnsi="Times New Roman" w:cs="Times New Roman"/>
          <w:spacing w:val="-2"/>
          <w:u w:val="single"/>
        </w:rPr>
      </w:pPr>
      <w:r>
        <w:rPr>
          <w:rFonts w:cs="Times New Roman" w:ascii="Times New Roman" w:hAnsi="Times New Roman"/>
          <w:spacing w:val="-2"/>
          <w:u w:val="single"/>
        </w:rPr>
      </w:r>
    </w:p>
    <w:p>
      <w:pPr>
        <w:pStyle w:val="BodyText2"/>
        <w:rPr>
          <w:rFonts w:ascii="Times New Roman" w:hAnsi="Times New Roman" w:cs="Times New Roman"/>
        </w:rPr>
      </w:pPr>
      <w:r>
        <w:rPr>
          <w:rFonts w:cs="Times New Roman" w:ascii="Times New Roman" w:hAnsi="Times New Roman"/>
        </w:rPr>
        <w:t>In an amount sufficient to cover the full replacement cost of the Collection Facilities on an ‘all-risk’ basis.</w:t>
      </w:r>
    </w:p>
    <w:p>
      <w:pPr>
        <w:pStyle w:val="BodyText2"/>
        <w:rPr>
          <w:rFonts w:ascii="Times New Roman" w:hAnsi="Times New Roman" w:cs="Times New Roman"/>
        </w:rPr>
      </w:pPr>
      <w:r>
        <w:rPr>
          <w:rFonts w:cs="Times New Roman" w:ascii="Times New Roman" w:hAnsi="Times New Roman"/>
        </w:rPr>
      </w:r>
    </w:p>
    <w:p>
      <w:pPr>
        <w:pStyle w:val="BodyText2"/>
        <w:numPr>
          <w:ilvl w:val="0"/>
          <w:numId w:val="3"/>
        </w:numPr>
        <w:rPr>
          <w:rFonts w:ascii="Times New Roman" w:hAnsi="Times New Roman" w:cs="Times New Roman"/>
          <w:u w:val="single"/>
        </w:rPr>
      </w:pPr>
      <w:r>
        <w:rPr>
          <w:rFonts w:cs="Times New Roman" w:ascii="Times New Roman" w:hAnsi="Times New Roman"/>
          <w:u w:val="single"/>
        </w:rPr>
        <w:t>Business Interruption Insurance</w:t>
      </w:r>
    </w:p>
    <w:p>
      <w:pPr>
        <w:pStyle w:val="BodyText2"/>
        <w:rPr>
          <w:rFonts w:ascii="Times New Roman" w:hAnsi="Times New Roman" w:cs="Times New Roman"/>
          <w:u w:val="single"/>
        </w:rPr>
      </w:pPr>
      <w:r>
        <w:rPr>
          <w:rFonts w:cs="Times New Roman" w:ascii="Times New Roman" w:hAnsi="Times New Roman"/>
          <w:u w:val="single"/>
        </w:rPr>
      </w:r>
    </w:p>
    <w:p>
      <w:pPr>
        <w:pStyle w:val="BodyText2"/>
        <w:rPr>
          <w:rFonts w:ascii="Times New Roman" w:hAnsi="Times New Roman" w:cs="Times New Roman"/>
        </w:rPr>
      </w:pPr>
      <w:r>
        <w:rPr>
          <w:rFonts w:cs="Times New Roman" w:ascii="Times New Roman" w:hAnsi="Times New Roman"/>
        </w:rPr>
        <w:t>In an amount sufficient to cover the full amount of Owner’s repayment obligations under Article 4 of this Agreement.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2"/>
          <w:u w:val="single"/>
        </w:rPr>
      </w:pPr>
      <w:r>
        <w:rPr>
          <w:rFonts w:cs="Times New Roman"/>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u w:val="single"/>
        </w:rPr>
      </w:pPr>
      <w:r>
        <w:rPr>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require any subcontractor at any tier, vendor, supplier, material dealer and others connected with the Work irrespective of their contractual relationship to Owner or Enron to provide and maintain insurance at all times during the period that their agreement related to Collection Facilities under this Agreement is in force and effect at the subcontractor's, vendor's, supplier's, material dealer's, or others' own cost, with insurance limits and in form and issuing companies acceptable to Enron.</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submit to Enron at the time Owner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Owner, or the failure of any insurance company to pay claims accruing, or the inadequacy of the limits of the insurance, shall not affect, negate or waive any of the provisions of this Agreement, including, without exception, the indemnity obligations of Owner.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require any policies of insurance, except Workers' Compensation coverages, which are in any way related to the Work and that are secured and maintained by Owner or its subcontractors, to include Enron, its parent and affiliated companies, and their directors, officers, employees and agents, as Additional Insureds.  Furthermore, Owner shall waive all rights of recovery against Enron, its parent and affiliated companies which Owner may have or acquire because of deductible clauses in or inadequacy of limits of, any policies of insurance maintained by Owner.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BodyText3"/>
        <w:rPr>
          <w:rFonts w:ascii="Times New Roman" w:hAnsi="Times New Roman" w:cs="Times New Roman"/>
          <w:sz w:val="24"/>
        </w:rPr>
      </w:pPr>
      <w:r>
        <w:rPr>
          <w:rFonts w:cs="Times New Roman" w:ascii="Times New Roman" w:hAnsi="Times New Roman"/>
          <w:sz w:val="24"/>
        </w:rPr>
        <w:t>Owner shall require all such policies of insurance which are in any way related to the Work and that are secured and maintained by Owner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BodyText"/>
        <w:tabs>
          <w:tab w:val="clear" w:pos="720"/>
          <w:tab w:val="left" w:pos="2430" w:leader="none"/>
        </w:tabs>
        <w:ind w:hanging="0" w:end="0"/>
        <w:rPr>
          <w:spacing w:val="-2"/>
        </w:rPr>
      </w:pPr>
      <w:r>
        <w:rPr>
          <w:spacing w:val="-2"/>
        </w:rPr>
        <w:t>All policies to be furnished in accordance with this Exhibit D shall be endorsed to apply as primary and without right of contribution from any similar coverages which may be maintained by Enron for all work governed by this Agreement.</w:t>
      </w:r>
    </w:p>
    <w:p>
      <w:pPr>
        <w:pStyle w:val="Normal"/>
        <w:rPr>
          <w:spacing w:val="-2"/>
        </w:rPr>
      </w:pPr>
      <w:r>
        <w:rPr>
          <w:spacing w:val="-2"/>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rPr>
      </w:pPr>
      <w:r>
        <w:rPr>
          <w:b/>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FORM OF SECURITY AGREEMENT</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rPr>
      </w:pPr>
      <w:r>
        <w:rPr>
          <w:b/>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DESCRIPTION OF COLLECTION FACILITIES</w:t>
      </w:r>
    </w:p>
    <w:p>
      <w:pPr>
        <w:pStyle w:val="Normal"/>
        <w:spacing w:before="120" w:after="0"/>
        <w:jc w:val="center"/>
        <w:rPr>
          <w:b/>
        </w:rPr>
      </w:pPr>
      <w:r>
        <w:rPr>
          <w:b/>
        </w:rPr>
      </w:r>
    </w:p>
    <w:p>
      <w:pPr>
        <w:pStyle w:val="Normal"/>
        <w:spacing w:before="120" w:after="0"/>
        <w:jc w:val="both"/>
        <w:rPr/>
      </w:pPr>
      <w:r>
        <w:rPr/>
        <w:t>[A plat showing the complete collection facilities system layout with receipt points]</w:t>
      </w:r>
    </w:p>
    <w:p>
      <w:pPr>
        <w:pStyle w:val="BodyText"/>
        <w:spacing w:before="0" w:after="240"/>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/mnt/main-storage/datasets/enron-docs/doc/collectionfacilities.doc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4"/>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5"/>
      </w:numPr>
      <w:outlineLvl w:val="9"/>
    </w:pPr>
    <w:rPr/>
  </w:style>
  <w:style w:type="paragraph" w:styleId="ListNum">
    <w:name w:val="ListNum"/>
    <w:basedOn w:val="Normal"/>
    <w:qFormat/>
    <w:pPr>
      <w:numPr>
        <w:ilvl w:val="0"/>
        <w:numId w:val="6"/>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2"/>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1999-08-24T22:26:00Z</dcterms:created>
  <dc:creator>M_HUGHES</dc:creator>
  <dc:description/>
  <dc:language>en-CA</dc:language>
  <cp:lastModifiedBy>gnemec</cp:lastModifiedBy>
  <cp:lastPrinted>1999-08-24T20:17:00Z</cp:lastPrinted>
  <dcterms:modified xsi:type="dcterms:W3CDTF">1999-08-25T23:54:00Z</dcterms:modified>
  <cp:revision>24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