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b/>
                <w:bCs/>
              </w:rPr>
            </w:pPr>
            <w:r>
              <w:rPr>
                <w:b/>
                <w:bCs/>
              </w:rPr>
              <w:t>ISDA Board of Directors</w:t>
            </w:r>
          </w:p>
        </w:tc>
      </w:tr>
      <w:tr>
        <w:trPr/>
        <w:tc>
          <w:tcPr>
            <w:tcW w:w="1440" w:type="dxa"/>
            <w:tcBorders/>
          </w:tcPr>
          <w:p>
            <w:pPr>
              <w:pStyle w:val="Normal"/>
              <w:spacing w:before="240" w:after="240"/>
              <w:rPr>
                <w:b/>
                <w:caps/>
              </w:rPr>
            </w:pPr>
            <w:r>
              <w:rPr>
                <w:b/>
                <w:caps/>
              </w:rPr>
              <w:t>From:</w:t>
            </w:r>
          </w:p>
        </w:tc>
        <w:tc>
          <w:tcPr>
            <w:tcW w:w="8028" w:type="dxa"/>
            <w:tcBorders/>
          </w:tcPr>
          <w:p>
            <w:pPr>
              <w:pStyle w:val="Heading3"/>
              <w:spacing w:before="240" w:after="0"/>
              <w:ind w:hanging="0" w:start="0"/>
              <w:rPr/>
            </w:pPr>
            <w:r>
              <w:rPr/>
              <w:t>Kimberly Summe</w:t>
            </w:r>
          </w:p>
        </w:tc>
      </w:tr>
      <w:tr>
        <w:trPr/>
        <w:tc>
          <w:tcPr>
            <w:tcW w:w="1440" w:type="dxa"/>
            <w:tcBorders/>
          </w:tcPr>
          <w:p>
            <w:pPr>
              <w:pStyle w:val="Normal"/>
              <w:spacing w:before="240" w:after="240"/>
              <w:rPr>
                <w:b/>
                <w:caps/>
              </w:rPr>
            </w:pPr>
            <w:r>
              <w:rPr>
                <w:b/>
                <w:caps/>
              </w:rPr>
              <w:t>Date:</w:t>
            </w:r>
          </w:p>
        </w:tc>
        <w:tc>
          <w:tcPr>
            <w:tcW w:w="8028" w:type="dxa"/>
            <w:tcBorders/>
          </w:tcPr>
          <w:p>
            <w:pPr>
              <w:pStyle w:val="Heading3"/>
              <w:spacing w:before="240" w:after="0"/>
              <w:ind w:hanging="0" w:start="0"/>
              <w:rPr/>
            </w:pPr>
            <w:r>
              <w:rPr/>
              <w:t>March 27, 2001</w:t>
            </w:r>
          </w:p>
        </w:tc>
      </w:tr>
      <w:tr>
        <w:trPr/>
        <w:tc>
          <w:tcPr>
            <w:tcW w:w="1440" w:type="dxa"/>
            <w:tcBorders/>
          </w:tcPr>
          <w:p>
            <w:pPr>
              <w:pStyle w:val="Normal"/>
              <w:spacing w:before="240" w:after="240"/>
              <w:rPr>
                <w:b/>
                <w:caps/>
              </w:rPr>
            </w:pPr>
            <w:r>
              <w:rPr>
                <w:b/>
                <w:caps/>
              </w:rPr>
              <w:t>Re:</w:t>
            </w:r>
          </w:p>
        </w:tc>
        <w:tc>
          <w:tcPr>
            <w:tcW w:w="8028" w:type="dxa"/>
            <w:tcBorders/>
          </w:tcPr>
          <w:p>
            <w:pPr>
              <w:pStyle w:val="Heading3"/>
              <w:spacing w:before="240" w:after="0"/>
              <w:ind w:hanging="0" w:start="0"/>
              <w:rPr/>
            </w:pPr>
            <w:r>
              <w:rPr/>
              <w:t>Collateral Documentation Initiatives</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-457200</wp:posOffset>
                </wp:positionH>
                <wp:positionV relativeFrom="paragraph">
                  <wp:posOffset>40005</wp:posOffset>
                </wp:positionV>
                <wp:extent cx="6858000" cy="0"/>
                <wp:effectExtent l="0" t="9525" r="0" b="9525"/>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15pt" to="503.95pt,3.15pt" stroked="t" o:allowincell="f" style="position:absolute">
                <v:stroke color="black" weight="19080" joinstyle="miter" endcap="flat"/>
                <v:fill o:detectmouseclick="t" on="false"/>
                <w10:wrap type="topAndBottom"/>
              </v:line>
            </w:pict>
          </mc:Fallback>
        </mc:AlternateContent>
      </w:r>
    </w:p>
    <w:p>
      <w:pPr>
        <w:pStyle w:val="Normal"/>
        <w:jc w:val="both"/>
        <w:rPr/>
      </w:pPr>
      <w:r>
        <w:rPr/>
        <w:t xml:space="preserve">A new draft of the Provisions was distributed to the Collateral Committee and the Documentation Committee on January 22, 2001.  The Collateral Committee met in London on February 6, 2001 and in New York on February 16, 2001 to discuss the draft of the newly named 2001 ISDA Margin Provisions and the draft Amendments to the New York Law and English Law Credit Support Annexes.  A total of 250 people attended the meetings.  </w:t>
      </w:r>
    </w:p>
    <w:p>
      <w:pPr>
        <w:pStyle w:val="Normal"/>
        <w:jc w:val="both"/>
        <w:rPr/>
      </w:pPr>
      <w:r>
        <w:rPr/>
      </w:r>
    </w:p>
    <w:p>
      <w:pPr>
        <w:pStyle w:val="Normal"/>
        <w:jc w:val="both"/>
        <w:rPr/>
      </w:pPr>
      <w:r>
        <w:rPr/>
        <w:t xml:space="preserve">As a result of the February meetings, a new draft was distributed to the Collateral Committee and Documentation Committee on March 16, 2001.  The new collateral documentation will be finalized by early April and a panel presentation on the documentation will be made at the ISDA Annual General Meeting on April 4, 2001. </w:t>
      </w:r>
    </w:p>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b/>
        <w:sz w:val="96"/>
      </w:rPr>
    </w:pPr>
    <w:r>
      <w:rPr>
        <w:b/>
        <w:sz w:val="96"/>
      </w:rPr>
      <w:t>ISDA</w:t>
    </w:r>
  </w:p>
  <w:p>
    <w:pPr>
      <w:pStyle w:val="Header"/>
      <w:tabs>
        <w:tab w:val="clear" w:pos="8640"/>
        <w:tab w:val="center" w:pos="4320" w:leader="none"/>
        <w:tab w:val="right" w:pos="9360" w:leader="none"/>
      </w:tabs>
      <w:ind w:start="-720" w:end="0"/>
      <w:rPr>
        <w:sz w:val="20"/>
      </w:rPr>
    </w:pPr>
    <w:r>
      <w:rPr>
        <w:sz w:val="20"/>
      </w:rPr>
      <w:t>International Swaps and Derivatives Association, Inc.</w:t>
      <w:tab/>
      <w:tab/>
      <w:t>London</w:t>
    </w:r>
  </w:p>
  <w:p>
    <w:pPr>
      <w:pStyle w:val="Header"/>
      <w:tabs>
        <w:tab w:val="clear" w:pos="8640"/>
        <w:tab w:val="center" w:pos="4320" w:leader="none"/>
        <w:tab w:val="right" w:pos="9360" w:leader="none"/>
      </w:tabs>
      <w:ind w:start="-720" w:end="0"/>
      <w:rPr/>
    </w:pPr>
    <w:r>
      <w:rPr>
        <w:sz w:val="20"/>
      </w:rPr>
      <w:t>600 Fifth Avenue, 27</w:t>
    </w:r>
    <w:r>
      <w:rPr>
        <w:sz w:val="20"/>
        <w:vertAlign w:val="superscript"/>
      </w:rPr>
      <w:t>th</w:t>
    </w:r>
    <w:r>
      <w:rPr>
        <w:sz w:val="20"/>
      </w:rPr>
      <w:t xml:space="preserve"> Floor</w:t>
      <w:tab/>
      <w:tab/>
      <w:t>Telephone: 44 (20) 7330-3550</w:t>
    </w:r>
  </w:p>
  <w:p>
    <w:pPr>
      <w:pStyle w:val="Header"/>
      <w:tabs>
        <w:tab w:val="clear" w:pos="8640"/>
        <w:tab w:val="center" w:pos="4320" w:leader="none"/>
        <w:tab w:val="right" w:pos="9360" w:leader="none"/>
      </w:tabs>
      <w:ind w:start="-720" w:end="0"/>
      <w:rPr>
        <w:sz w:val="20"/>
      </w:rPr>
    </w:pPr>
    <w:r>
      <w:rPr>
        <w:sz w:val="20"/>
      </w:rPr>
      <w:t>Rockefeller Center</w:t>
      <w:tab/>
      <w:tab/>
      <w:t>Facsimile: 44 (20) 7330-3555</w:t>
    </w:r>
  </w:p>
  <w:p>
    <w:pPr>
      <w:pStyle w:val="Header"/>
      <w:tabs>
        <w:tab w:val="clear" w:pos="8640"/>
        <w:tab w:val="center" w:pos="4320" w:leader="none"/>
        <w:tab w:val="right" w:pos="9360" w:leader="none"/>
      </w:tabs>
      <w:ind w:start="-720" w:end="0"/>
      <w:rPr>
        <w:sz w:val="20"/>
      </w:rPr>
    </w:pPr>
    <w:r>
      <w:rPr>
        <w:sz w:val="20"/>
      </w:rPr>
      <w:t>New York, NY 10020-2302</w:t>
    </w:r>
  </w:p>
  <w:p>
    <w:pPr>
      <w:pStyle w:val="Header"/>
      <w:tabs>
        <w:tab w:val="clear" w:pos="8640"/>
        <w:tab w:val="center" w:pos="4320" w:leader="none"/>
        <w:tab w:val="right" w:pos="9360" w:leader="none"/>
      </w:tabs>
      <w:ind w:start="-720" w:end="0"/>
      <w:rPr>
        <w:sz w:val="20"/>
      </w:rPr>
    </w:pPr>
    <w:r>
      <w:rPr>
        <w:sz w:val="20"/>
      </w:rPr>
      <w:t>United States of America</w:t>
      <w:tab/>
      <w:tab/>
      <w:t>Singapore</w:t>
    </w:r>
  </w:p>
  <w:p>
    <w:pPr>
      <w:pStyle w:val="Header"/>
      <w:tabs>
        <w:tab w:val="clear" w:pos="8640"/>
        <w:tab w:val="center" w:pos="4320" w:leader="none"/>
        <w:tab w:val="right" w:pos="9360" w:leader="none"/>
      </w:tabs>
      <w:ind w:start="-720" w:end="0"/>
      <w:rPr>
        <w:sz w:val="20"/>
      </w:rPr>
    </w:pPr>
    <w:r>
      <w:rPr>
        <w:sz w:val="20"/>
      </w:rPr>
      <w:t>Telephone: 1 (212) 332-1200</w:t>
      <w:tab/>
      <w:tab/>
      <w:t xml:space="preserve">Telephone: </w:t>
    </w:r>
    <w:r>
      <w:rPr>
        <w:caps/>
        <w:sz w:val="20"/>
      </w:rPr>
      <w:t>(65)  538-3879</w:t>
    </w:r>
  </w:p>
  <w:p>
    <w:pPr>
      <w:pStyle w:val="Header"/>
      <w:tabs>
        <w:tab w:val="clear" w:pos="8640"/>
        <w:tab w:val="center" w:pos="4320" w:leader="none"/>
        <w:tab w:val="right" w:pos="9360" w:leader="none"/>
      </w:tabs>
      <w:ind w:start="-720" w:end="0"/>
      <w:rPr/>
    </w:pPr>
    <w:r>
      <w:rPr>
        <w:sz w:val="20"/>
      </w:rPr>
      <w:t>Facsimile: 1 (212) 332-1212</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ind w:start="-720" w:end="0"/>
      <w:rPr>
        <w:sz w:val="20"/>
      </w:rPr>
    </w:pPr>
    <w:r>
      <w:rPr>
        <w:sz w:val="20"/>
      </w:rPr>
      <w:t>email: isda@isda.org</w:t>
    </w:r>
  </w:p>
  <w:p>
    <w:pPr>
      <w:pStyle w:val="Header"/>
      <w:tabs>
        <w:tab w:val="clear" w:pos="8640"/>
        <w:tab w:val="center" w:pos="4320" w:leader="none"/>
        <w:tab w:val="right" w:pos="9360" w:leader="none"/>
      </w:tabs>
      <w:ind w:start="-720" w:end="0"/>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-457200</wp:posOffset>
              </wp:positionH>
              <wp:positionV relativeFrom="paragraph">
                <wp:posOffset>91440</wp:posOffset>
              </wp:positionV>
              <wp:extent cx="6858000" cy="0"/>
              <wp:effectExtent l="0" t="9525" r="0" b="9525"/>
              <wp:wrapNone/>
              <wp:docPr id="2"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7.2pt" to="503.95pt,7.2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0"/>
      <w:outlineLvl w:val="2"/>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2001-03-29T17:37:00Z</dcterms:created>
  <dc:creator>Barbara Hanlon</dc:creator>
  <dc:description/>
  <dc:language>en-CA</dc:language>
  <cp:lastModifiedBy>CYNTHIA</cp:lastModifiedBy>
  <dcterms:modified xsi:type="dcterms:W3CDTF">2001-03-29T17:37:00Z</dcterms:modified>
  <cp:revision>2</cp:revision>
  <dc:subject/>
  <dc:title>MEMORANDUM</dc:title>
</cp:coreProperties>
</file>