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t>Hedge Ratios Revisited (1)</w:t>
      </w:r>
    </w:p>
    <w:p>
      <w:pPr>
        <w:pStyle w:val="Normal"/>
        <w:jc w:val="both"/>
        <w:rPr>
          <w:b/>
        </w:rPr>
      </w:pPr>
      <w:r>
        <w:rPr>
          <w:b/>
        </w:rPr>
      </w:r>
    </w:p>
    <w:p>
      <w:pPr>
        <w:pStyle w:val="BodyText"/>
        <w:rPr/>
      </w:pPr>
      <w:r>
        <w:rPr/>
        <w:t xml:space="preserve">Estimation of the hedge ratios is one of the most important problems in applied finance and in trading. The standard recommendation our group gives when advising on the derivation of proper hedge ratios is to run a regression on the first price </w:t>
      </w:r>
      <w:r>
        <w:rPr>
          <w:b/>
        </w:rPr>
        <w:t>differences</w:t>
      </w:r>
      <w:r>
        <w:rPr/>
        <w:t xml:space="preserve"> of the underlying and the hedge instrument(s). The advantage of using this approach is that it can be easily implemented in a spreadsheet format, using built-in EXCEL regression function. We have seldom an opportunity to explain the complicated theory behind the hedge ratio derivation and, more importantly, recent theoretical developments, which offer a much better alternative to a regression based model. The new approach is based on the concept of the so-called </w:t>
      </w:r>
      <w:r>
        <w:rPr>
          <w:b/>
          <w:i/>
        </w:rPr>
        <w:t>cointegration</w:t>
      </w:r>
      <w:r>
        <w:rPr/>
        <w:t xml:space="preserve"> of two or more time series and requires more advanced statistical skills than just multiple regression. For the sake of completeness, I shall put the discussion of cointegration in the context of more traditional techniques, repeating some of the points made in other contributions to the Technical Corner.</w:t>
      </w:r>
    </w:p>
    <w:p>
      <w:pPr>
        <w:pStyle w:val="BodyText"/>
        <w:rPr/>
      </w:pPr>
      <w:r>
        <w:rPr/>
      </w:r>
    </w:p>
    <w:p>
      <w:pPr>
        <w:pStyle w:val="BodyText"/>
        <w:rPr/>
      </w:pPr>
      <w:r>
        <w:rPr/>
        <w:t xml:space="preserve">The standard hedging problem is posed as follows: a certain amount of cash (spot) commodity q is hedged with a position in the futures market that is equal to y. The decision regarding the volume of q and the size of the hedging position y is taken in period </w:t>
      </w:r>
      <w:r>
        <w:rPr>
          <w:i/>
        </w:rPr>
        <w:t>t-1</w:t>
      </w:r>
      <w:r>
        <w:rPr/>
        <w:t xml:space="preserve">; the profit will be realized in period </w:t>
      </w:r>
      <w:r>
        <w:rPr>
          <w:i/>
        </w:rPr>
        <w:t>t</w:t>
      </w:r>
      <w:r>
        <w:rPr/>
        <w:t xml:space="preserve">. When the decision is taken at time </w:t>
      </w:r>
      <w:r>
        <w:rPr>
          <w:i/>
        </w:rPr>
        <w:t>t-1</w:t>
      </w:r>
      <w:r>
        <w:rPr/>
        <w:t xml:space="preserve">, both the prices of the cash commodity and futures at time </w:t>
      </w:r>
      <w:r>
        <w:rPr>
          <w:i/>
        </w:rPr>
        <w:t>t</w:t>
      </w:r>
      <w:r>
        <w:rPr/>
        <w:t xml:space="preserve"> are unknown. They can be only characterized in terms of their joint probability distribution. The profit </w:t>
      </w:r>
      <w:r>
        <w:rPr>
          <w:rFonts w:cs="Symbol" w:ascii="Symbol" w:hAnsi="Symbol"/>
        </w:rPr>
        <w:sym w:font="Symbol" w:char="f070"/>
        <w:sym w:font="Symbol" w:char="f028"/>
      </w:r>
      <w:r>
        <w:rPr/>
        <w:t>t</w:t>
      </w:r>
      <w:r>
        <w:rPr>
          <w:rFonts w:cs="Symbol" w:ascii="Symbol" w:hAnsi="Symbol"/>
        </w:rPr>
        <w:sym w:font="Symbol" w:char="f029"/>
      </w:r>
      <w:r>
        <w:rPr/>
        <w:t xml:space="preserve"> is given by:</w:t>
      </w:r>
    </w:p>
    <w:p>
      <w:pPr>
        <w:pStyle w:val="BodyText"/>
        <w:rPr/>
      </w:pPr>
      <w:r>
        <w:rPr/>
      </w:r>
    </w:p>
    <w:p>
      <w:pPr>
        <w:pStyle w:val="BodyText"/>
        <w:rPr/>
      </w:pPr>
      <w:r>
        <w:rPr>
          <w:rFonts w:cs="Symbol" w:ascii="Symbol" w:hAnsi="Symbol"/>
        </w:rPr>
        <w:sym w:font="Symbol" w:char="f070"/>
      </w:r>
      <w:r>
        <w:rPr/>
        <w:t xml:space="preserve">(t)= p(t) * q(t-1) – c(q(t-1)) – (f(t) – f(t-1)) * y(t-1) </w:t>
        <w:tab/>
        <w:tab/>
        <w:tab/>
        <w:tab/>
        <w:tab/>
        <w:t>(1)</w:t>
        <w:tab/>
        <w:tab/>
      </w:r>
    </w:p>
    <w:p>
      <w:pPr>
        <w:pStyle w:val="BodyText"/>
        <w:rPr/>
      </w:pPr>
      <w:r>
        <w:rPr/>
      </w:r>
    </w:p>
    <w:p>
      <w:pPr>
        <w:pStyle w:val="BodyText"/>
        <w:rPr/>
      </w:pPr>
      <w:r>
        <w:rPr/>
        <w:t xml:space="preserve">The interpretation follows. The expression p(t) * q(t-1) gives the sale revenues in period </w:t>
      </w:r>
      <w:r>
        <w:rPr>
          <w:i/>
        </w:rPr>
        <w:t>t</w:t>
      </w:r>
      <w:r>
        <w:rPr/>
        <w:t xml:space="preserve"> (p(t) stands for the price of the hedged commodity in period </w:t>
      </w:r>
      <w:r>
        <w:rPr>
          <w:i/>
        </w:rPr>
        <w:t>t</w:t>
      </w:r>
      <w:r>
        <w:rPr/>
        <w:t xml:space="preserve">); the expression c(q(t-1)) is the cost of acquisition of volume q  (through production  or an open market purchase); (f(t) – f(t-1)) * y(t-1) is the change in the value of the hedge position (f(t) and f(t-1) denote, respectively, futures prices in period </w:t>
      </w:r>
      <w:r>
        <w:rPr>
          <w:i/>
        </w:rPr>
        <w:t>t</w:t>
      </w:r>
      <w:r>
        <w:rPr/>
        <w:t xml:space="preserve"> and </w:t>
      </w:r>
      <w:r>
        <w:rPr>
          <w:i/>
        </w:rPr>
        <w:t>t-1</w:t>
      </w:r>
      <w:r>
        <w:rPr/>
        <w:t>). The variance of profits is given by the following expression:</w:t>
      </w:r>
    </w:p>
    <w:p>
      <w:pPr>
        <w:pStyle w:val="BodyText"/>
        <w:rPr/>
      </w:pPr>
      <w:r>
        <w:rPr/>
      </w:r>
    </w:p>
    <w:p>
      <w:pPr>
        <w:pStyle w:val="BodyText"/>
        <w:rPr/>
      </w:pPr>
      <w:r>
        <w:rPr/>
        <w:t>var(</w:t>
      </w:r>
      <w:r>
        <w:rPr>
          <w:rFonts w:cs="Symbol" w:ascii="Symbol" w:hAnsi="Symbol"/>
        </w:rPr>
        <w:sym w:font="Symbol" w:char="f070"/>
        <w:sym w:font="Symbol" w:char="f028"/>
      </w:r>
      <w:r>
        <w:rPr/>
        <w:t>t</w:t>
      </w:r>
      <w:r>
        <w:rPr>
          <w:rFonts w:cs="Symbol" w:ascii="Symbol" w:hAnsi="Symbol"/>
        </w:rPr>
        <w:sym w:font="Symbol" w:char="f029"/>
        <w:sym w:font="Symbol" w:char="f029"/>
        <w:sym w:font="Symbol" w:char="f020"/>
        <w:sym w:font="Symbol" w:char="f03d"/>
        <w:sym w:font="Symbol" w:char="f020"/>
        <w:sym w:font="Symbol" w:char="f073"/>
      </w:r>
      <w:r>
        <w:rPr>
          <w:rFonts w:cs="Lucida Console" w:ascii="Lucida Console" w:hAnsi="Lucida Console"/>
        </w:rPr>
        <w:t>²</w:t>
      </w:r>
      <w:r>
        <w:rPr/>
        <w:t>(p) * q</w:t>
      </w:r>
      <w:r>
        <w:rPr>
          <w:rFonts w:cs="Lucida Console" w:ascii="Lucida Console" w:hAnsi="Lucida Console"/>
        </w:rPr>
        <w:t>²</w:t>
      </w:r>
      <w:r>
        <w:rPr/>
        <w:t xml:space="preserve">(t-1) + </w:t>
      </w:r>
      <w:r>
        <w:rPr>
          <w:rFonts w:cs="Symbol" w:ascii="Symbol" w:hAnsi="Symbol"/>
        </w:rPr>
        <w:sym w:font="Symbol" w:char="f073"/>
      </w:r>
      <w:r>
        <w:rPr>
          <w:rFonts w:cs="Lucida Console" w:ascii="Lucida Console" w:hAnsi="Lucida Console"/>
        </w:rPr>
        <w:t>²</w:t>
      </w:r>
      <w:r>
        <w:rPr/>
        <w:t>(f) * y</w:t>
      </w:r>
      <w:r>
        <w:rPr>
          <w:rFonts w:cs="Lucida Console" w:ascii="Lucida Console" w:hAnsi="Lucida Console"/>
        </w:rPr>
        <w:t>²</w:t>
      </w:r>
      <w:r>
        <w:rPr/>
        <w:t>(t-1) - 2</w:t>
      </w:r>
      <w:r>
        <w:rPr>
          <w:rFonts w:cs="Symbol" w:ascii="Symbol" w:hAnsi="Symbol"/>
        </w:rPr>
        <w:sym w:font="Symbol" w:char="f073"/>
      </w:r>
      <w:r>
        <w:rPr/>
        <w:t>(pf) * q(t-1) * y(t-1)</w:t>
        <w:tab/>
        <w:tab/>
        <w:tab/>
        <w:t>(2)</w:t>
      </w:r>
    </w:p>
    <w:p>
      <w:pPr>
        <w:pStyle w:val="BodyText"/>
        <w:rPr/>
      </w:pPr>
      <w:r>
        <w:rPr/>
      </w:r>
    </w:p>
    <w:p>
      <w:pPr>
        <w:pStyle w:val="BodyText"/>
        <w:rPr/>
      </w:pPr>
      <w:r>
        <w:rPr/>
        <w:t xml:space="preserve">where </w:t>
      </w:r>
      <w:r>
        <w:rPr>
          <w:rFonts w:cs="Symbol" w:ascii="Symbol" w:hAnsi="Symbol"/>
        </w:rPr>
        <w:sym w:font="Symbol" w:char="f073"/>
      </w:r>
      <w:r>
        <w:rPr/>
        <w:t xml:space="preserve">(pf) denotes the covariance between the prices of the hedged commodity and the futures prices. The symbols </w:t>
      </w:r>
      <w:r>
        <w:rPr>
          <w:rFonts w:cs="Symbol" w:ascii="Symbol" w:hAnsi="Symbol"/>
        </w:rPr>
        <w:sym w:font="Symbol" w:char="f073"/>
      </w:r>
      <w:r>
        <w:rPr>
          <w:rFonts w:cs="Lucida Console" w:ascii="Lucida Console" w:hAnsi="Lucida Console"/>
        </w:rPr>
        <w:t>²</w:t>
      </w:r>
      <w:r>
        <w:rPr/>
        <w:t xml:space="preserve">(f) and </w:t>
      </w:r>
      <w:r>
        <w:rPr>
          <w:rFonts w:cs="Symbol" w:ascii="Symbol" w:hAnsi="Symbol"/>
        </w:rPr>
        <w:sym w:font="Symbol" w:char="f073"/>
      </w:r>
      <w:r>
        <w:rPr>
          <w:rFonts w:cs="Lucida Console" w:ascii="Lucida Console" w:hAnsi="Lucida Console"/>
        </w:rPr>
        <w:t>²</w:t>
      </w:r>
      <w:r>
        <w:rPr/>
        <w:t>(p) denote, respectively, variances of futures and spot prices. Assuming that the hedging entity wants to maximize the expected profit adjusted for risk, the objective function is given by:</w:t>
      </w:r>
    </w:p>
    <w:p>
      <w:pPr>
        <w:pStyle w:val="BodyText"/>
        <w:rPr/>
      </w:pPr>
      <w:r>
        <w:rPr/>
      </w:r>
    </w:p>
    <w:p>
      <w:pPr>
        <w:pStyle w:val="BodyText"/>
        <w:rPr/>
      </w:pPr>
      <w:r>
        <w:rPr/>
        <w:t>E(</w:t>
      </w:r>
      <w:r>
        <w:rPr>
          <w:rFonts w:cs="Symbol" w:ascii="Symbol" w:hAnsi="Symbol"/>
        </w:rPr>
        <w:sym w:font="Symbol" w:char="f070"/>
        <w:sym w:font="Symbol" w:char="f028"/>
      </w:r>
      <w:r>
        <w:rPr/>
        <w:t>t</w:t>
      </w:r>
      <w:r>
        <w:rPr>
          <w:rFonts w:cs="Symbol" w:ascii="Symbol" w:hAnsi="Symbol"/>
        </w:rPr>
        <w:sym w:font="Symbol" w:char="f029"/>
      </w:r>
      <w:r>
        <w:rPr/>
        <w:t>) -   λ * var(</w:t>
      </w:r>
      <w:r>
        <w:rPr>
          <w:rFonts w:cs="Symbol" w:ascii="Symbol" w:hAnsi="Symbol"/>
        </w:rPr>
        <w:sym w:font="Symbol" w:char="f070"/>
        <w:sym w:font="Symbol" w:char="f028"/>
      </w:r>
      <w:r>
        <w:rPr/>
        <w:t>t</w:t>
      </w:r>
      <w:r>
        <w:rPr>
          <w:rFonts w:cs="Symbol" w:ascii="Symbol" w:hAnsi="Symbol"/>
        </w:rPr>
        <w:t></w:t>
        <w:tab/>
        <w:tab/>
        <w:tab/>
        <w:tab/>
        <w:tab/>
        <w:tab/>
        <w:tab/>
        <w:tab/>
        <w:sym w:font="Symbol" w:char="f028"/>
        <w:sym w:font="Symbol" w:char="f033"/>
        <w:sym w:font="Symbol" w:char="f029"/>
      </w:r>
    </w:p>
    <w:p>
      <w:pPr>
        <w:pStyle w:val="BodyText"/>
        <w:rPr>
          <w:rFonts w:ascii="Symbol" w:hAnsi="Symbol" w:cs="Symbol"/>
        </w:rPr>
      </w:pPr>
      <w:r>
        <w:rPr>
          <w:rFonts w:cs="Symbol" w:ascii="Symbol" w:hAnsi="Symbol"/>
        </w:rPr>
      </w:r>
    </w:p>
    <w:p>
      <w:pPr>
        <w:pStyle w:val="BodyText"/>
        <w:rPr/>
      </w:pPr>
      <w:r>
        <w:rPr/>
        <w:t xml:space="preserve">where  </w:t>
      </w:r>
      <w:r>
        <w:rPr>
          <w:rFonts w:cs="Symbol" w:ascii="Symbol" w:hAnsi="Symbol"/>
        </w:rPr>
        <w:sym w:font="Symbol" w:char="f06c"/>
      </w:r>
      <w:r>
        <w:rPr/>
        <w:t xml:space="preserve"> stands for the risk parameter (that is positive if the hedger is risk  adverse) and E stands for the expected value operator. To be technically precise, the E operator gives the expectation of profit and prices at time </w:t>
      </w:r>
      <w:r>
        <w:rPr>
          <w:i/>
        </w:rPr>
        <w:t>t</w:t>
      </w:r>
      <w:r>
        <w:rPr/>
        <w:t xml:space="preserve">, as of time </w:t>
      </w:r>
      <w:r>
        <w:rPr>
          <w:i/>
        </w:rPr>
        <w:t>t-1</w:t>
      </w:r>
      <w:r>
        <w:rPr/>
        <w:t>. If the starting position in the cash commodity is given, one find the optimal level of the hedging position by differentiating (3) with respect to y. This produces an equation that can be solved to give:</w:t>
      </w:r>
    </w:p>
    <w:p>
      <w:pPr>
        <w:pStyle w:val="BodyText"/>
        <w:rPr/>
      </w:pPr>
      <w:r>
        <w:rPr/>
      </w:r>
    </w:p>
    <w:p>
      <w:pPr>
        <w:pStyle w:val="BodyText"/>
        <w:rPr/>
      </w:pPr>
      <w:r>
        <w:rPr/>
        <w:t xml:space="preserve">y(t-1) = {[E(f(t) – f(t-1)]/(2 * </w:t>
      </w:r>
      <w:r>
        <w:rPr>
          <w:rFonts w:cs="Symbol" w:ascii="Symbol" w:hAnsi="Symbol"/>
        </w:rPr>
        <w:sym w:font="Symbol" w:char="f06c"/>
      </w:r>
      <w:r>
        <w:rPr/>
        <w:t xml:space="preserve"> * </w:t>
      </w:r>
      <w:r>
        <w:rPr>
          <w:rFonts w:cs="Symbol" w:ascii="Symbol" w:hAnsi="Symbol"/>
        </w:rPr>
        <w:sym w:font="Symbol" w:char="f073"/>
      </w:r>
      <w:r>
        <w:rPr>
          <w:rFonts w:cs="Lucida Console" w:ascii="Lucida Console" w:hAnsi="Lucida Console"/>
        </w:rPr>
        <w:t>²</w:t>
      </w:r>
      <w:r>
        <w:rPr/>
        <w:t xml:space="preserve">(f)]} + </w:t>
      </w:r>
      <w:r>
        <w:rPr>
          <w:rFonts w:cs="Symbol" w:ascii="Symbol" w:hAnsi="Symbol"/>
        </w:rPr>
        <w:sym w:font="Symbol" w:char="f073"/>
      </w:r>
      <w:r>
        <w:rPr/>
        <w:t>(pf) * q(t-1) /</w:t>
      </w:r>
      <w:r>
        <w:rPr>
          <w:rFonts w:cs="Symbol" w:ascii="Symbol" w:hAnsi="Symbol"/>
        </w:rPr>
        <w:sym w:font="Symbol" w:char="f020"/>
        <w:sym w:font="Symbol" w:char="f073"/>
      </w:r>
      <w:r>
        <w:rPr>
          <w:rFonts w:cs="Lucida Console" w:ascii="Lucida Console" w:hAnsi="Lucida Console"/>
        </w:rPr>
        <w:t>²</w:t>
      </w:r>
      <w:r>
        <w:rPr/>
        <w:t>(f)</w:t>
        <w:tab/>
        <w:tab/>
        <w:tab/>
        <w:t>(4)</w:t>
      </w:r>
    </w:p>
    <w:p>
      <w:pPr>
        <w:pStyle w:val="BodyText"/>
        <w:rPr/>
      </w:pPr>
      <w:r>
        <w:rPr/>
      </w:r>
    </w:p>
    <w:p>
      <w:pPr>
        <w:pStyle w:val="BodyText"/>
        <w:rPr/>
      </w:pPr>
      <w:r>
        <w:rPr/>
        <w:t xml:space="preserve">The equation gives the optimal futures position that can be divided by q(t-1) to determine the </w:t>
      </w:r>
      <w:r>
        <w:rPr>
          <w:b/>
          <w:i/>
        </w:rPr>
        <w:t>optimal</w:t>
      </w:r>
      <w:r>
        <w:rPr/>
        <w:t xml:space="preserve"> hedge ratio: the number of units of the futures per one unit of the cash commodity. We get:</w:t>
      </w:r>
    </w:p>
    <w:p>
      <w:pPr>
        <w:pStyle w:val="BodyText"/>
        <w:rPr/>
      </w:pPr>
      <w:r>
        <w:rPr/>
      </w:r>
    </w:p>
    <w:p>
      <w:pPr>
        <w:pStyle w:val="BodyText"/>
        <w:rPr/>
      </w:pPr>
      <w:r>
        <w:rPr/>
        <w:t xml:space="preserve">h = y(t-1)/q(t-1) = [E(f(t)) – f(t-1)]/(2 * </w:t>
      </w:r>
      <w:r>
        <w:rPr>
          <w:rFonts w:cs="Symbol" w:ascii="Symbol" w:hAnsi="Symbol"/>
        </w:rPr>
        <w:sym w:font="Symbol" w:char="f06c"/>
      </w:r>
      <w:r>
        <w:rPr/>
        <w:t xml:space="preserve"> * </w:t>
      </w:r>
      <w:r>
        <w:rPr>
          <w:rFonts w:cs="Symbol" w:ascii="Symbol" w:hAnsi="Symbol"/>
        </w:rPr>
        <w:sym w:font="Symbol" w:char="f073"/>
      </w:r>
      <w:r>
        <w:rPr>
          <w:rFonts w:cs="Lucida Console" w:ascii="Lucida Console" w:hAnsi="Lucida Console"/>
        </w:rPr>
        <w:t>²</w:t>
      </w:r>
      <w:r>
        <w:rPr/>
        <w:t xml:space="preserve">(f) * q(t-1)] + </w:t>
      </w:r>
      <w:r>
        <w:rPr>
          <w:rFonts w:cs="Symbol" w:ascii="Symbol" w:hAnsi="Symbol"/>
        </w:rPr>
        <w:sym w:font="Symbol" w:char="f073"/>
      </w:r>
      <w:r>
        <w:rPr/>
        <w:t>(pf) /</w:t>
      </w:r>
      <w:r>
        <w:rPr>
          <w:rFonts w:cs="Symbol" w:ascii="Symbol" w:hAnsi="Symbol"/>
        </w:rPr>
        <w:sym w:font="Symbol" w:char="f020"/>
        <w:sym w:font="Symbol" w:char="f073"/>
      </w:r>
      <w:r>
        <w:rPr>
          <w:rFonts w:cs="Lucida Console" w:ascii="Lucida Console" w:hAnsi="Lucida Console"/>
        </w:rPr>
        <w:t>²</w:t>
      </w:r>
      <w:r>
        <w:rPr/>
        <w:t>(f)</w:t>
        <w:tab/>
        <w:tab/>
        <w:t>(5)</w:t>
      </w:r>
    </w:p>
    <w:p>
      <w:pPr>
        <w:pStyle w:val="BodyText"/>
        <w:rPr/>
      </w:pPr>
      <w:r>
        <w:rPr/>
      </w:r>
    </w:p>
    <w:p>
      <w:pPr>
        <w:pStyle w:val="BodyText"/>
        <w:rPr/>
      </w:pPr>
      <w:r>
        <w:rPr/>
        <w:t>Some formulations of the hedging problem solve not for the optimum hedge ratio, but for the minimum risk hedge ratio, i.e. the hedge ratio that minimizes the variance of profits. The minimum risk hedge ratio is given by:</w:t>
      </w:r>
    </w:p>
    <w:p>
      <w:pPr>
        <w:pStyle w:val="BodyText"/>
        <w:rPr/>
      </w:pPr>
      <w:r>
        <w:rPr/>
      </w:r>
    </w:p>
    <w:p>
      <w:pPr>
        <w:pStyle w:val="BodyText"/>
        <w:rPr/>
      </w:pPr>
      <w:r>
        <w:rPr/>
        <w:t xml:space="preserve">h* = - </w:t>
      </w:r>
      <w:r>
        <w:rPr>
          <w:rFonts w:cs="Symbol" w:ascii="Symbol" w:hAnsi="Symbol"/>
        </w:rPr>
        <w:sym w:font="Symbol" w:char="f073"/>
      </w:r>
      <w:r>
        <w:rPr/>
        <w:t>(pf)*/</w:t>
      </w:r>
      <w:r>
        <w:rPr>
          <w:rFonts w:cs="Symbol" w:ascii="Symbol" w:hAnsi="Symbol"/>
        </w:rPr>
        <w:sym w:font="Symbol" w:char="f020"/>
        <w:sym w:font="Symbol" w:char="f073"/>
      </w:r>
      <w:r>
        <w:rPr>
          <w:rFonts w:cs="Lucida Console" w:ascii="Lucida Console" w:hAnsi="Lucida Console"/>
        </w:rPr>
        <w:t>²</w:t>
      </w:r>
      <w:r>
        <w:rPr/>
        <w:t>(f)</w:t>
        <w:tab/>
        <w:tab/>
        <w:tab/>
        <w:tab/>
        <w:tab/>
        <w:tab/>
        <w:tab/>
        <w:tab/>
        <w:t>(6)</w:t>
      </w:r>
    </w:p>
    <w:p>
      <w:pPr>
        <w:pStyle w:val="BodyText"/>
        <w:rPr/>
      </w:pPr>
      <w:r>
        <w:rPr/>
      </w:r>
    </w:p>
    <w:p>
      <w:pPr>
        <w:pStyle w:val="BodyText"/>
        <w:rPr/>
      </w:pPr>
      <w:r>
        <w:rPr/>
        <w:t xml:space="preserve">and this is a standard textbook formulation. Let us remind that the correlation coefficient is given by </w:t>
      </w:r>
    </w:p>
    <w:p>
      <w:pPr>
        <w:pStyle w:val="BodyText"/>
        <w:rPr/>
      </w:pPr>
      <w:r>
        <w:rPr/>
      </w:r>
    </w:p>
    <w:p>
      <w:pPr>
        <w:pStyle w:val="BodyText"/>
        <w:rPr/>
      </w:pPr>
      <w:r>
        <w:rPr>
          <w:rFonts w:cs="Symbol" w:ascii="Symbol" w:hAnsi="Symbol"/>
        </w:rPr>
        <w:sym w:font="Symbol" w:char="f072"/>
      </w:r>
      <w:r>
        <w:rPr/>
        <w:t xml:space="preserve"> </w:t>
      </w:r>
      <w:r>
        <w:rPr/>
        <w:t xml:space="preserve">= </w:t>
      </w:r>
      <w:r>
        <w:rPr>
          <w:rFonts w:cs="Symbol" w:ascii="Symbol" w:hAnsi="Symbol"/>
        </w:rPr>
        <w:sym w:font="Symbol" w:char="f073"/>
      </w:r>
      <w:r>
        <w:rPr/>
        <w:t xml:space="preserve">(pf) / </w:t>
      </w:r>
      <w:r>
        <w:rPr>
          <w:rFonts w:cs="Symbol" w:ascii="Symbol" w:hAnsi="Symbol"/>
        </w:rPr>
        <w:sym w:font="Symbol" w:char="f073"/>
      </w:r>
      <w:r>
        <w:rPr/>
        <w:t>(f)</w:t>
      </w:r>
      <w:r>
        <w:rPr>
          <w:rFonts w:cs="Symbol" w:ascii="Symbol" w:hAnsi="Symbol"/>
        </w:rPr>
        <w:sym w:font="Symbol" w:char="f020"/>
        <w:sym w:font="Symbol" w:char="f073"/>
      </w:r>
      <w:r>
        <w:rPr/>
        <w:t>(p)</w:t>
        <w:tab/>
        <w:tab/>
        <w:tab/>
        <w:tab/>
        <w:tab/>
        <w:tab/>
        <w:tab/>
        <w:tab/>
        <w:t>(7)</w:t>
      </w:r>
    </w:p>
    <w:p>
      <w:pPr>
        <w:pStyle w:val="BodyText"/>
        <w:rPr/>
      </w:pPr>
      <w:r>
        <w:rPr/>
      </w:r>
    </w:p>
    <w:p>
      <w:pPr>
        <w:pStyle w:val="BodyText"/>
        <w:rPr/>
      </w:pPr>
      <w:r>
        <w:rPr/>
        <w:t>Substituting   (7) into (6), we get a more familiar formula for h*:</w:t>
      </w:r>
    </w:p>
    <w:p>
      <w:pPr>
        <w:pStyle w:val="BodyText"/>
        <w:rPr/>
      </w:pPr>
      <w:r>
        <w:rPr/>
      </w:r>
    </w:p>
    <w:p>
      <w:pPr>
        <w:pStyle w:val="BodyText"/>
        <w:rPr/>
      </w:pPr>
      <w:r>
        <w:rPr/>
        <w:t xml:space="preserve">h* = - </w:t>
      </w:r>
      <w:r>
        <w:rPr>
          <w:rFonts w:cs="Symbol" w:ascii="Symbol" w:hAnsi="Symbol"/>
        </w:rPr>
        <w:sym w:font="Symbol" w:char="f072"/>
        <w:sym w:font="Symbol" w:char="f073"/>
      </w:r>
      <w:r>
        <w:rPr/>
        <w:t xml:space="preserve">(p) / </w:t>
      </w:r>
      <w:r>
        <w:rPr>
          <w:rFonts w:cs="Symbol" w:ascii="Symbol" w:hAnsi="Symbol"/>
        </w:rPr>
        <w:sym w:font="Symbol" w:char="f073"/>
      </w:r>
      <w:r>
        <w:rPr/>
        <w:t>(f)</w:t>
        <w:tab/>
        <w:tab/>
        <w:tab/>
        <w:tab/>
        <w:tab/>
        <w:tab/>
        <w:tab/>
        <w:tab/>
        <w:t>(8)</w:t>
      </w:r>
    </w:p>
    <w:p>
      <w:pPr>
        <w:pStyle w:val="BodyText"/>
        <w:rPr/>
      </w:pPr>
      <w:r>
        <w:rPr/>
      </w:r>
    </w:p>
    <w:p>
      <w:pPr>
        <w:pStyle w:val="BodyText"/>
        <w:rPr/>
      </w:pPr>
      <w:r>
        <w:rPr/>
      </w:r>
    </w:p>
    <w:p>
      <w:pPr>
        <w:pStyle w:val="BodyText"/>
        <w:rPr/>
      </w:pPr>
      <w:r>
        <w:rPr/>
        <w:t xml:space="preserve">The two approaches are identical under certain conditions. If E(f(t)) = f(t-1), or, in other words, the expected (as of time </w:t>
      </w:r>
      <w:r>
        <w:rPr>
          <w:i/>
        </w:rPr>
        <w:t>t-1</w:t>
      </w:r>
      <w:r>
        <w:rPr/>
        <w:t xml:space="preserve">) futures price in period </w:t>
      </w:r>
      <w:r>
        <w:rPr>
          <w:i/>
        </w:rPr>
        <w:t>t</w:t>
      </w:r>
      <w:r>
        <w:rPr/>
        <w:t xml:space="preserve"> is equal to the price at time </w:t>
      </w:r>
      <w:r>
        <w:rPr>
          <w:i/>
        </w:rPr>
        <w:t>t-1</w:t>
      </w:r>
      <w:r>
        <w:rPr/>
        <w:t xml:space="preserve"> (price expected tomorrow is equal to price today), the first term in the equation (5) disappear.  The property of futures prices described above as known as the assumption of a “</w:t>
      </w:r>
      <w:r>
        <w:rPr>
          <w:i/>
        </w:rPr>
        <w:t>martingale stochastic process</w:t>
      </w:r>
      <w:r>
        <w:rPr/>
        <w:t xml:space="preserve">” which is typically made in theoretical models that are used for the analysis of futures markets. The two equations are also equivalent if </w:t>
      </w:r>
      <w:r>
        <w:rPr>
          <w:rFonts w:cs="Symbol" w:ascii="Symbol" w:hAnsi="Symbol"/>
        </w:rPr>
        <w:sym w:font="Symbol" w:char="f020"/>
      </w:r>
      <w:r>
        <w:rPr/>
        <w:t xml:space="preserve">λ (λ </w:t>
      </w:r>
      <w:r>
        <w:rPr>
          <w:rFonts w:eastAsia="Symbol" w:cs="Symbol" w:ascii="Symbol" w:hAnsi="Symbol"/>
        </w:rPr>
        <w:sym w:font="Symbol" w:char="f0ae"/>
      </w:r>
      <w:r>
        <w:rPr/>
        <w:t xml:space="preserve"> </w:t>
      </w:r>
      <w:r>
        <w:rPr>
          <w:rFonts w:eastAsia="Symbol" w:cs="Symbol" w:ascii="Symbol" w:hAnsi="Symbol"/>
        </w:rPr>
        <w:sym w:font="Symbol" w:char="f0a5"/>
      </w:r>
      <w:r>
        <w:rPr/>
        <w:t>) is very large (the hedger is very risk adverse and seeks to reduce primarily the price risk).</w:t>
      </w:r>
    </w:p>
    <w:p>
      <w:pPr>
        <w:pStyle w:val="BodyText"/>
        <w:rPr/>
      </w:pPr>
      <w:r>
        <w:rPr/>
      </w:r>
    </w:p>
    <w:p>
      <w:pPr>
        <w:pStyle w:val="BodyText"/>
        <w:rPr/>
      </w:pPr>
      <w:r>
        <w:rPr/>
        <w:t>The problem with this formulation is that the model does not say anything how to derive the estimates of the parameters defining h*: correlation coefficients and price  volatilities. The correct procedure depends on what are the assumptions regarding the stochastic processes followed by the prices of the cash commodity and the futures and we shall use different procedures under different condition and in different markets. This is where statistical skills become very important. The solutions offered in the textbooks are typically based on certain assumptions regarding the price processes that are not always made explicit.</w:t>
      </w:r>
    </w:p>
    <w:p>
      <w:pPr>
        <w:pStyle w:val="BodyText"/>
        <w:rPr/>
      </w:pPr>
      <w:r>
        <w:rPr/>
      </w:r>
    </w:p>
    <w:p>
      <w:pPr>
        <w:pStyle w:val="BodyText"/>
        <w:rPr/>
      </w:pPr>
      <w:r>
        <w:rPr/>
        <w:t>Next week more about estimation of hedge ratios using regression approach and about a very powerful alternative: cointegration analysis.</w:t>
      </w:r>
    </w:p>
    <w:p>
      <w:pPr>
        <w:pStyle w:val="BodyText"/>
        <w:rPr/>
      </w:pPr>
      <w:r>
        <w:rPr/>
      </w:r>
    </w:p>
    <w:p>
      <w:pPr>
        <w:pStyle w:val="BodyText"/>
        <w:rPr/>
      </w:pPr>
      <w:r>
        <w:rPr/>
      </w:r>
    </w:p>
    <w:p>
      <w:pPr>
        <w:pStyle w:val="BodyText"/>
        <w:rPr/>
      </w:pPr>
      <w:r>
        <w:rPr/>
      </w:r>
    </w:p>
    <w:p>
      <w:pPr>
        <w:pStyle w:val="BodyText"/>
        <w:rPr/>
      </w:pPr>
      <w:r>
        <w:rPr/>
      </w:r>
    </w:p>
    <w:p>
      <w:pPr>
        <w:pStyle w:val="BodyText"/>
        <w:rPr/>
      </w:pPr>
      <w:r>
        <w:rPr/>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0"/>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2000-05-15T10:36:00Z</dcterms:created>
  <dc:creator>Vince Kaminski</dc:creator>
  <dc:description/>
  <dc:language>en-CA</dc:language>
  <cp:lastModifiedBy>vkamins</cp:lastModifiedBy>
  <dcterms:modified xsi:type="dcterms:W3CDTF">2000-05-15T10:50:00Z</dcterms:modified>
  <cp:revision>10</cp:revision>
  <dc:subject/>
  <dc:title>Hedge Ratios Revisited (1)</dc:title>
</cp:coreProperties>
</file>