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rPr>
      </w:pPr>
      <w:r>
        <w:rPr>
          <w:b/>
        </w:rPr>
        <w:t>Value-at-Risk: An Assessment</w:t>
      </w:r>
    </w:p>
    <w:p>
      <w:pPr>
        <w:pStyle w:val="BodyText"/>
        <w:rPr>
          <w:b/>
        </w:rPr>
      </w:pPr>
      <w:r>
        <w:rPr>
          <w:b/>
        </w:rPr>
      </w:r>
    </w:p>
    <w:p>
      <w:pPr>
        <w:pStyle w:val="BodyText"/>
        <w:rPr/>
      </w:pPr>
      <w:r>
        <w:rPr/>
        <w:t>Measurement of different types of portfolio exposures is central to risk management. The method used by most financial institutions is known as value-at-risk. Value at-risk measures potential loss that may be incurred in a portfolio, due to the fluctuations of market prices, over a defined time period with a given probability. For a portfolio, 5% value-at-risk of q means that its future market value of X at some predetermined time horizon may fall below q with a probability of 5%. Value-at-risk is typically calculated for the time horizon of one day and the probability level that is used is typically equal to 5 or 1%.</w:t>
      </w:r>
    </w:p>
    <w:p>
      <w:pPr>
        <w:pStyle w:val="BodyText"/>
        <w:rPr/>
      </w:pPr>
      <w:r>
        <w:rPr/>
      </w:r>
    </w:p>
    <w:p>
      <w:pPr>
        <w:pStyle w:val="BodyText"/>
        <w:rPr/>
      </w:pPr>
      <w:r>
        <w:rPr/>
        <w:t>Value-at-risk has gained almost universal acceptance in financial companies and trading organizations. It does not mean, however, that financial engineers can fall uncritically into a self-congratulatory mode and suspend the search for an even better mousetrap. Value-at-risk is currently a subject of criticism based on two different sets of premises.</w:t>
      </w:r>
    </w:p>
    <w:p>
      <w:pPr>
        <w:pStyle w:val="BodyText"/>
        <w:rPr/>
      </w:pPr>
      <w:r>
        <w:rPr/>
      </w:r>
    </w:p>
    <w:p>
      <w:pPr>
        <w:pStyle w:val="BodyText"/>
        <w:rPr/>
      </w:pPr>
      <w:r>
        <w:rPr/>
        <w:t xml:space="preserve">Many financial economists question the use of value-at-risk as the measure of choice of financial exposures, bringing up the issue of its internal contradictions. It is argued that a risk measure should have certain properties that eliminate the possibility of making inconsistent decisions or of gaming the system. A paper by four authors (Philippe Artzner, Freddy Delbaen, Jean-Marc Eber, David Heath, “Thinking Coherently”, RISK) contains an example of such system of rules. </w:t>
      </w:r>
    </w:p>
    <w:p>
      <w:pPr>
        <w:pStyle w:val="Normal"/>
        <w:jc w:val="both"/>
        <w:rPr/>
      </w:pPr>
      <w:r>
        <w:rPr/>
      </w:r>
    </w:p>
    <w:p>
      <w:pPr>
        <w:pStyle w:val="Normal"/>
        <w:jc w:val="both"/>
        <w:rPr/>
      </w:pPr>
      <w:r>
        <w:rPr/>
        <w:t xml:space="preserve">The authors propose the set of following rules that an internally consistent measure of risk should obey. The rules have been stated using a symbolic language. For portfolios that have starting values X and Y, respectively, risk measure, denoted as </w:t>
      </w:r>
      <w:r>
        <w:rPr>
          <w:rFonts w:eastAsia="Symbol" w:cs="Symbol" w:ascii="Symbol" w:hAnsi="Symbol"/>
        </w:rPr>
        <w:sym w:font="Symbol" w:char="f072"/>
      </w:r>
      <w:r>
        <w:rPr/>
        <w:t>, should satisfy the following conditions:</w:t>
      </w:r>
    </w:p>
    <w:p>
      <w:pPr>
        <w:pStyle w:val="Normal"/>
        <w:jc w:val="both"/>
        <w:rPr/>
      </w:pPr>
      <w:r>
        <w:rPr/>
      </w:r>
    </w:p>
    <w:p>
      <w:pPr>
        <w:pStyle w:val="Normal"/>
        <w:numPr>
          <w:ilvl w:val="0"/>
          <w:numId w:val="1"/>
        </w:numPr>
        <w:jc w:val="both"/>
        <w:rPr/>
      </w:pPr>
      <w:r>
        <w:rPr>
          <w:rFonts w:eastAsia="Symbol" w:cs="Symbol" w:ascii="Symbol" w:hAnsi="Symbol"/>
        </w:rPr>
        <w:sym w:font="Symbol" w:char="f072"/>
      </w:r>
      <w:r>
        <w:rPr/>
        <w:t xml:space="preserve">(X+Y) </w:t>
      </w:r>
      <w:r>
        <w:rPr>
          <w:rFonts w:eastAsia="Symbol" w:cs="Symbol" w:ascii="Symbol" w:hAnsi="Symbol"/>
        </w:rPr>
        <w:sym w:font="Symbol" w:char="f0a3"/>
      </w:r>
      <w:r>
        <w:rPr/>
        <w:t xml:space="preserve">  </w:t>
      </w:r>
      <w:r>
        <w:rPr>
          <w:rFonts w:eastAsia="Symbol" w:cs="Symbol" w:ascii="Symbol" w:hAnsi="Symbol"/>
        </w:rPr>
        <w:sym w:font="Symbol" w:char="f072"/>
      </w:r>
      <w:r>
        <w:rPr/>
        <w:t xml:space="preserve">(X) + </w:t>
      </w:r>
      <w:r>
        <w:rPr>
          <w:rFonts w:eastAsia="Symbol" w:cs="Symbol" w:ascii="Symbol" w:hAnsi="Symbol"/>
        </w:rPr>
        <w:sym w:font="Symbol" w:char="f072"/>
      </w:r>
      <w:r>
        <w:rPr/>
        <w:t>(Y)</w:t>
      </w:r>
    </w:p>
    <w:p>
      <w:pPr>
        <w:pStyle w:val="Normal"/>
        <w:numPr>
          <w:ilvl w:val="0"/>
          <w:numId w:val="1"/>
        </w:numPr>
        <w:jc w:val="both"/>
        <w:rPr/>
      </w:pPr>
      <w:r>
        <w:rPr>
          <w:rFonts w:eastAsia="Symbol" w:cs="Symbol" w:ascii="Symbol" w:hAnsi="Symbol"/>
        </w:rPr>
        <w:sym w:font="Symbol" w:char="f072"/>
      </w:r>
      <w:r>
        <w:rPr/>
        <w:t>(tX) = t</w:t>
      </w:r>
      <w:r>
        <w:rPr>
          <w:rFonts w:eastAsia="Symbol" w:cs="Symbol" w:ascii="Symbol" w:hAnsi="Symbol"/>
        </w:rPr>
        <w:sym w:font="Symbol" w:char="f072"/>
      </w:r>
      <w:r>
        <w:rPr/>
        <w:t>(X)</w:t>
      </w:r>
    </w:p>
    <w:p>
      <w:pPr>
        <w:pStyle w:val="Normal"/>
        <w:numPr>
          <w:ilvl w:val="0"/>
          <w:numId w:val="1"/>
        </w:numPr>
        <w:jc w:val="both"/>
        <w:rPr/>
      </w:pPr>
      <w:r>
        <w:rPr>
          <w:rFonts w:eastAsia="Symbol" w:cs="Symbol" w:ascii="Symbol" w:hAnsi="Symbol"/>
        </w:rPr>
        <w:sym w:font="Symbol" w:char="f072"/>
      </w:r>
      <w:r>
        <w:rPr/>
        <w:t xml:space="preserve">(X) </w:t>
      </w:r>
      <w:r>
        <w:rPr>
          <w:rFonts w:eastAsia="Symbol" w:cs="Symbol" w:ascii="Symbol" w:hAnsi="Symbol"/>
        </w:rPr>
        <w:sym w:font="Symbol" w:char="f0b3"/>
      </w:r>
      <w:r>
        <w:rPr/>
        <w:t xml:space="preserve"> (Y), if X </w:t>
      </w:r>
      <w:r>
        <w:rPr>
          <w:rFonts w:eastAsia="Symbol" w:cs="Symbol" w:ascii="Symbol" w:hAnsi="Symbol"/>
        </w:rPr>
        <w:sym w:font="Symbol" w:char="f0a3"/>
      </w:r>
      <w:r>
        <w:rPr/>
        <w:t xml:space="preserve">  Y</w:t>
      </w:r>
    </w:p>
    <w:p>
      <w:pPr>
        <w:pStyle w:val="Normal"/>
        <w:numPr>
          <w:ilvl w:val="0"/>
          <w:numId w:val="1"/>
        </w:numPr>
        <w:jc w:val="both"/>
        <w:rPr/>
      </w:pPr>
      <w:r>
        <w:rPr>
          <w:rFonts w:eastAsia="Symbol" w:cs="Symbol" w:ascii="Symbol" w:hAnsi="Symbol"/>
        </w:rPr>
        <w:sym w:font="Symbol" w:char="f072"/>
      </w:r>
      <w:r>
        <w:rPr/>
        <w:t xml:space="preserve">(X + rc) = </w:t>
      </w:r>
      <w:r>
        <w:rPr>
          <w:rFonts w:eastAsia="Symbol" w:cs="Symbol" w:ascii="Symbol" w:hAnsi="Symbol"/>
        </w:rPr>
        <w:sym w:font="Symbol" w:char="f072"/>
      </w:r>
      <w:r>
        <w:rPr/>
        <w:t>(X) – c</w:t>
      </w:r>
    </w:p>
    <w:p>
      <w:pPr>
        <w:pStyle w:val="Normal"/>
        <w:jc w:val="both"/>
        <w:rPr/>
      </w:pPr>
      <w:r>
        <w:rPr/>
      </w:r>
    </w:p>
    <w:p>
      <w:pPr>
        <w:pStyle w:val="Normal"/>
        <w:jc w:val="both"/>
        <w:rPr/>
      </w:pPr>
      <w:r>
        <w:rPr/>
        <w:t>These symbolic statements have a very intuitive obvious interpretation. Rule (1), known as sub-additivity, corresponds to an intuitive condition that a sum of two portfolios, X + Y, should be assigned risk measure not bigger than the sum of risk measures calculated for each of the two portfolios separately. This may be interpreted as a condition that risk measurement should be given the benefits of diversification. Also, if the opposite was true, a manager in charge of trading could simply reduce his risk measure by subdividing the portfolios into smaller books. The organized exchanges require that customers post margins corresponding to the riskiness of their positions and implicitly follow this rule. If this weren’t the case, a customer would open two different accounts to hold two different positions, reducing his margins requirements.</w:t>
      </w:r>
    </w:p>
    <w:p>
      <w:pPr>
        <w:pStyle w:val="Normal"/>
        <w:jc w:val="both"/>
        <w:rPr/>
      </w:pPr>
      <w:r>
        <w:rPr/>
      </w:r>
    </w:p>
    <w:p>
      <w:pPr>
        <w:pStyle w:val="Normal"/>
        <w:jc w:val="both"/>
        <w:rPr/>
      </w:pPr>
      <w:r>
        <w:rPr/>
        <w:t xml:space="preserve">The second condition, homegeneity, means that a portfolio increased by a factor of t, should have risk measure increased in the same proportion. If my risk of holding a portfolio of 100 shares of IBM is y, the risk of holding 200 shares should be twice as big. The third condition means that portfolio with smaller horizon value should have higher risk, everything else being equal. The fourth condition means that if a portfolio is increased by adding a cash position of c, invested at a risk free rate of </w:t>
      </w:r>
      <w:r>
        <w:rPr>
          <w:i/>
        </w:rPr>
        <w:t>r</w:t>
      </w:r>
      <w:r>
        <w:rPr/>
        <w:t xml:space="preserve">, the risk measure should be reduced by this amount. The cash position serves as a cushion against potential market losses. </w:t>
      </w:r>
    </w:p>
    <w:p>
      <w:pPr>
        <w:pStyle w:val="Normal"/>
        <w:jc w:val="both"/>
        <w:rPr/>
      </w:pPr>
      <w:r>
        <w:rPr/>
      </w:r>
    </w:p>
    <w:p>
      <w:pPr>
        <w:pStyle w:val="Normal"/>
        <w:jc w:val="both"/>
        <w:rPr/>
      </w:pPr>
      <w:r>
        <w:rPr/>
        <w:t>According to the authors, value-at-risk measure suffers from another weakness. It is possible that the traders take disjoint risks that don’t show on the radar screen of the value-at-risk system but effectively cover the entire spectrum of future states of the world, exposing the firm to a certain loss.</w:t>
      </w:r>
    </w:p>
    <w:p>
      <w:pPr>
        <w:pStyle w:val="Normal"/>
        <w:jc w:val="both"/>
        <w:rPr/>
      </w:pPr>
      <w:r>
        <w:rPr/>
      </w:r>
    </w:p>
    <w:p>
      <w:pPr>
        <w:pStyle w:val="BodyText"/>
        <w:rPr/>
      </w:pPr>
      <w:r>
        <w:rPr/>
        <w:t>The authors argue that one measure of risk that meets the conditions listed above is the expected future shortfall, the expected value of the position, conditional on its being below certain threshold level. This measure would distinguish between two positions that may happen to have the same quintile, but behave differently in the far tails of their respective distributions.</w:t>
      </w:r>
    </w:p>
    <w:p>
      <w:pPr>
        <w:pStyle w:val="BodyText"/>
        <w:rPr/>
      </w:pPr>
      <w:r>
        <w:rPr/>
      </w:r>
    </w:p>
    <w:p>
      <w:pPr>
        <w:pStyle w:val="BodyText"/>
        <w:rPr/>
      </w:pPr>
      <w:r>
        <w:rPr/>
        <w:t xml:space="preserve">Practitioners point to a different set of problems. Most financial institutions have evolved into acceptance of a few basically identical (in spirit, if not in the letter) risk measurement systems. When the markets are subjected to a major exogenous shock, the risk management systems in all the institutions send the same warning signal and trigger the same type of a response. As a result, the initial market shock may be magnified by the corrective action taken by different financial institutions using the same set of rules. It’s an irony that a financial innovation, designed to reduce the risk exposures of individual companies, contributes to the amplification of systemic risk.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2000-05-22T10:25:00Z</dcterms:created>
  <dc:creator>vkamins</dc:creator>
  <dc:description/>
  <dc:language>en-CA</dc:language>
  <cp:lastModifiedBy>vkamins</cp:lastModifiedBy>
  <dcterms:modified xsi:type="dcterms:W3CDTF">2000-05-22T10:25:00Z</dcterms:modified>
  <cp:revision>2</cp:revision>
  <dc:subject/>
  <dc:title>Measurement of different portfolio exposures is central to risk management</dc:title>
</cp:coreProperties>
</file>