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sz w:val="22"/>
        </w:rPr>
      </w:pPr>
      <w:r>
        <w:rPr>
          <w:sz w:val="22"/>
        </w:rPr>
        <w:tab/>
      </w:r>
      <w:r>
        <w:rPr>
          <w:b/>
          <w:sz w:val="26"/>
        </w:rPr>
        <w:t>TASKING LETTER 1-01</w:t>
      </w:r>
    </w:p>
    <w:p>
      <w:pPr>
        <w:pStyle w:val="Normal"/>
        <w:widowControl/>
        <w:jc w:val="both"/>
        <w:rPr>
          <w:b/>
          <w:sz w:val="22"/>
        </w:rPr>
      </w:pPr>
      <w:r>
        <w:rPr>
          <w:b/>
          <w:sz w:val="22"/>
        </w:rPr>
      </w:r>
    </w:p>
    <w:p>
      <w:pPr>
        <w:pStyle w:val="Heading5"/>
        <w:ind w:hanging="0" w:start="0"/>
        <w:rPr/>
      </w:pPr>
      <w:r>
        <w:rPr/>
        <w:tab/>
      </w:r>
    </w:p>
    <w:p>
      <w:pPr>
        <w:pStyle w:val="CommentText"/>
        <w:widowControl w:val="false"/>
        <w:rPr>
          <w:rFonts w:ascii="Univers" w:hAnsi="Univers" w:cs="Univers"/>
          <w:sz w:val="22"/>
        </w:rPr>
      </w:pPr>
      <w:r>
        <w:rPr>
          <w:rFonts w:cs="Univers" w:ascii="Univers" w:hAnsi="Univers"/>
          <w:sz w:val="22"/>
        </w:rPr>
        <w:t>This Tasking Letter is between Burns &amp; Roe“Contractor”) and Enron Engineering &amp; Construction Company (or as needed, Enron North America) (“Company”).</w:t>
      </w:r>
    </w:p>
    <w:p>
      <w:pPr>
        <w:pStyle w:val="Normal"/>
        <w:widowControl/>
        <w:tabs>
          <w:tab w:val="clear" w:pos="720"/>
          <w:tab w:val="center" w:pos="4680" w:leader="none"/>
        </w:tabs>
        <w:rPr>
          <w:rFonts w:ascii="Univers" w:hAnsi="Univers" w:cs="Univers"/>
          <w:sz w:val="22"/>
        </w:rPr>
      </w:pPr>
      <w:r>
        <w:rPr>
          <w:rFonts w:cs="Univers"/>
          <w:sz w:val="22"/>
        </w:rPr>
      </w:r>
    </w:p>
    <w:p>
      <w:pPr>
        <w:pStyle w:val="Heading3"/>
        <w:ind w:hanging="0" w:start="0"/>
        <w:rPr/>
      </w:pPr>
      <w:r>
        <w:rPr/>
        <w:t>PART I - REQUIREMENTS</w:t>
      </w:r>
    </w:p>
    <w:p>
      <w:pPr>
        <w:pStyle w:val="Normal"/>
        <w:widowControl/>
        <w:jc w:val="both"/>
        <w:rPr>
          <w:sz w:val="22"/>
        </w:rPr>
      </w:pPr>
      <w:r>
        <w:rPr>
          <w:sz w:val="22"/>
        </w:rPr>
      </w:r>
    </w:p>
    <w:p>
      <w:pPr>
        <w:pStyle w:val="Normal"/>
        <w:widowControl/>
        <w:ind w:hanging="360" w:start="360" w:end="0"/>
        <w:jc w:val="both"/>
        <w:rPr>
          <w:b/>
          <w:sz w:val="22"/>
        </w:rPr>
      </w:pPr>
      <w:r>
        <w:rPr>
          <w:sz w:val="22"/>
        </w:rPr>
        <w:t>1.  The Contractor is required to provide services for the performance of the Scope of Services described in Attachment A.</w:t>
      </w:r>
    </w:p>
    <w:p>
      <w:pPr>
        <w:pStyle w:val="Normal"/>
        <w:widowControl/>
        <w:jc w:val="both"/>
        <w:rPr>
          <w:b/>
          <w:sz w:val="22"/>
        </w:rPr>
      </w:pPr>
      <w:r>
        <w:rPr>
          <w:b/>
          <w:sz w:val="22"/>
        </w:rPr>
      </w:r>
    </w:p>
    <w:p>
      <w:pPr>
        <w:pStyle w:val="Normal"/>
        <w:widowControl/>
        <w:ind w:hanging="360" w:start="360" w:end="0"/>
        <w:jc w:val="both"/>
        <w:rPr>
          <w:sz w:val="22"/>
        </w:rPr>
      </w:pPr>
      <w:r>
        <w:rPr>
          <w:sz w:val="22"/>
        </w:rPr>
        <w:t>2.  Scope of Services under this Tasking Letter are to be performed at Contractor’s facilities, or at Company’s facilities, as agreed and arranged for beforehand and on an as-needed basis.</w:t>
      </w:r>
    </w:p>
    <w:p>
      <w:pPr>
        <w:pStyle w:val="Normal"/>
        <w:widowControl/>
        <w:jc w:val="both"/>
        <w:rPr>
          <w:sz w:val="22"/>
        </w:rPr>
      </w:pPr>
      <w:r>
        <w:rPr>
          <w:sz w:val="22"/>
        </w:rPr>
      </w:r>
    </w:p>
    <w:p>
      <w:pPr>
        <w:pStyle w:val="BodyTextIndent"/>
        <w:rPr/>
      </w:pPr>
      <w:r>
        <w:rPr/>
        <w:t xml:space="preserve">3.  Scope of Services under this Tasking Letter will commence on or about 11 April 2001.   Contractor's services shall be provided on an as required and agreed basis (i.e., level of effort with cost targets provided on all assigned tasks).  All services under this Tasking Letter shall be completed not later than 11 September, 2001, unless sooner terminated or suspended.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 xml:space="preserve">Contractor and Company agree as follows with respect to this Tasking Letter:  </w:t>
      </w:r>
    </w:p>
    <w:p>
      <w:pPr>
        <w:pStyle w:val="Normal"/>
        <w:widowControl/>
        <w:jc w:val="both"/>
        <w:rPr>
          <w:sz w:val="22"/>
        </w:rPr>
      </w:pPr>
      <w:r>
        <w:rPr>
          <w:sz w:val="22"/>
        </w:rPr>
      </w:r>
    </w:p>
    <w:p>
      <w:pPr>
        <w:pStyle w:val="Normal"/>
        <w:widowControl/>
        <w:tabs>
          <w:tab w:val="clear" w:pos="720"/>
          <w:tab w:val="center" w:pos="4680" w:leader="none"/>
        </w:tabs>
        <w:jc w:val="both"/>
        <w:rPr>
          <w:sz w:val="22"/>
        </w:rPr>
      </w:pPr>
      <w:r>
        <w:rPr>
          <w:sz w:val="22"/>
        </w:rPr>
        <w:tab/>
      </w:r>
      <w:r>
        <w:rPr>
          <w:b/>
          <w:sz w:val="22"/>
        </w:rPr>
        <w:t>PART II - ESTIMATED COST</w:t>
      </w:r>
    </w:p>
    <w:p>
      <w:pPr>
        <w:pStyle w:val="Normal"/>
        <w:widowControl/>
        <w:jc w:val="both"/>
        <w:rPr>
          <w:sz w:val="22"/>
        </w:rPr>
      </w:pPr>
      <w:r>
        <w:rPr>
          <w:sz w:val="22"/>
        </w:rPr>
      </w:r>
    </w:p>
    <w:p>
      <w:pPr>
        <w:pStyle w:val="Normal"/>
        <w:widowControl/>
        <w:jc w:val="both"/>
        <w:rPr>
          <w:sz w:val="22"/>
        </w:rPr>
      </w:pPr>
      <w:r>
        <w:rPr>
          <w:sz w:val="22"/>
        </w:rPr>
        <w:t>1.  Services</w:t>
      </w:r>
    </w:p>
    <w:p>
      <w:pPr>
        <w:pStyle w:val="Normal"/>
        <w:widowControl/>
        <w:jc w:val="both"/>
        <w:rPr>
          <w:sz w:val="22"/>
        </w:rPr>
      </w:pPr>
      <w:r>
        <w:rPr>
          <w:sz w:val="22"/>
        </w:rPr>
      </w:r>
    </w:p>
    <w:p>
      <w:pPr>
        <w:pStyle w:val="Normal"/>
        <w:widowControl/>
        <w:tabs>
          <w:tab w:val="clear" w:pos="720"/>
          <w:tab w:val="left" w:pos="360" w:leader="none"/>
        </w:tabs>
        <w:jc w:val="both"/>
        <w:rPr>
          <w:sz w:val="22"/>
        </w:rPr>
      </w:pPr>
      <w:r>
        <w:rPr>
          <w:sz w:val="22"/>
        </w:rPr>
        <w:t>2.</w:t>
        <w:tab/>
        <w:t>Reimbursable Expenses</w:t>
      </w:r>
    </w:p>
    <w:p>
      <w:pPr>
        <w:pStyle w:val="Normal"/>
        <w:widowControl/>
        <w:tabs>
          <w:tab w:val="clear" w:pos="720"/>
          <w:tab w:val="left" w:pos="360" w:leader="none"/>
        </w:tabs>
        <w:jc w:val="both"/>
        <w:rPr>
          <w:sz w:val="22"/>
        </w:rPr>
      </w:pPr>
      <w:r>
        <w:rPr>
          <w:sz w:val="22"/>
        </w:rPr>
      </w:r>
    </w:p>
    <w:p>
      <w:pPr>
        <w:pStyle w:val="Normal"/>
        <w:widowControl/>
        <w:tabs>
          <w:tab w:val="clear" w:pos="720"/>
          <w:tab w:val="left" w:pos="360" w:leader="none"/>
        </w:tabs>
        <w:jc w:val="both"/>
        <w:rPr>
          <w:sz w:val="22"/>
        </w:rPr>
      </w:pPr>
      <w:r>
        <w:rPr>
          <w:sz w:val="22"/>
        </w:rPr>
        <w:t>3.</w:t>
        <w:tab/>
        <w:t>Estimated Not to Exceed Amount for this Tasking Letter</w:t>
        <w:tab/>
        <w:tab/>
        <w:t>$25,000</w:t>
      </w:r>
    </w:p>
    <w:p>
      <w:pPr>
        <w:pStyle w:val="Normal"/>
        <w:widowControl/>
        <w:jc w:val="both"/>
        <w:rPr>
          <w:sz w:val="22"/>
        </w:rPr>
      </w:pPr>
      <w:r>
        <w:rPr>
          <w:sz w:val="22"/>
        </w:rPr>
      </w:r>
    </w:p>
    <w:p>
      <w:pPr>
        <w:pStyle w:val="BodyText3"/>
        <w:ind w:hanging="360" w:start="360" w:end="0"/>
        <w:rPr/>
      </w:pPr>
      <w:r>
        <w:rPr/>
        <w:t xml:space="preserve">4.  The above amount is estimated as a NOT TO EXCEED AMOUNT for the Scope of Services to be provided in this and subsequent Tasking Letters on a Level Of Effort basis.  This amount (and component amounts, as needed) shall not be exceeded without the prior written consent of the Company.  Contractor will notify Company when seventy-five percent (75%) of the NOT TO EXCEED AMOUNT has been reached. </w:t>
      </w:r>
    </w:p>
    <w:p>
      <w:pPr>
        <w:pStyle w:val="Normal"/>
        <w:widowControl/>
        <w:jc w:val="both"/>
        <w:rPr>
          <w:sz w:val="22"/>
        </w:rPr>
      </w:pPr>
      <w:r>
        <w:rPr>
          <w:sz w:val="22"/>
        </w:rPr>
      </w:r>
      <w:r>
        <w:br w:type="page"/>
      </w:r>
    </w:p>
    <w:p>
      <w:pPr>
        <w:pStyle w:val="BodyText3"/>
        <w:ind w:hanging="360" w:start="360" w:end="0"/>
        <w:rPr/>
      </w:pPr>
      <w:r>
        <w:rPr/>
        <w:t>5. Contractor shall submit an invoice and supporting expense receipts on a monthly basis through completion of services and delivery of reports and documentation set forth herein.  Invoices shall be annotated, “TL-1-01, Coal Initiative” submitted to:</w:t>
      </w:r>
    </w:p>
    <w:p>
      <w:pPr>
        <w:pStyle w:val="Normal"/>
        <w:widowControl/>
        <w:jc w:val="both"/>
        <w:rPr>
          <w:sz w:val="22"/>
        </w:rPr>
      </w:pPr>
      <w:r>
        <w:rPr>
          <w:sz w:val="22"/>
        </w:rPr>
      </w:r>
    </w:p>
    <w:p>
      <w:pPr>
        <w:pStyle w:val="Normal"/>
        <w:widowControl/>
        <w:ind w:firstLine="720" w:end="0"/>
        <w:jc w:val="both"/>
        <w:rPr>
          <w:sz w:val="22"/>
        </w:rPr>
      </w:pPr>
      <w:r>
        <w:rPr>
          <w:sz w:val="22"/>
        </w:rPr>
        <w:t>Enron Engineering &amp; Construction Co.</w:t>
      </w:r>
    </w:p>
    <w:p>
      <w:pPr>
        <w:pStyle w:val="Normal"/>
        <w:widowControl/>
        <w:ind w:firstLine="720" w:end="0"/>
        <w:jc w:val="both"/>
        <w:rPr>
          <w:sz w:val="22"/>
        </w:rPr>
      </w:pPr>
      <w:r>
        <w:rPr>
          <w:sz w:val="22"/>
        </w:rPr>
        <w:t>333 Clay Street, Suite 700</w:t>
      </w:r>
    </w:p>
    <w:p>
      <w:pPr>
        <w:pStyle w:val="Normal"/>
        <w:widowControl/>
        <w:ind w:firstLine="720" w:end="0"/>
        <w:jc w:val="both"/>
        <w:rPr>
          <w:sz w:val="22"/>
        </w:rPr>
      </w:pPr>
      <w:r>
        <w:rPr>
          <w:sz w:val="22"/>
        </w:rPr>
        <w:t>Houston, TX 77002</w:t>
      </w:r>
    </w:p>
    <w:p>
      <w:pPr>
        <w:pStyle w:val="Normal"/>
        <w:widowControl/>
        <w:ind w:firstLine="720" w:end="0"/>
        <w:jc w:val="both"/>
        <w:rPr>
          <w:sz w:val="22"/>
        </w:rPr>
      </w:pPr>
      <w:r>
        <w:rPr>
          <w:sz w:val="22"/>
        </w:rPr>
        <w:t>Attn:  Scott Laidlaw</w:t>
      </w:r>
    </w:p>
    <w:p>
      <w:pPr>
        <w:pStyle w:val="Normal"/>
        <w:widowControl/>
        <w:jc w:val="both"/>
        <w:rPr>
          <w:sz w:val="22"/>
        </w:rPr>
      </w:pPr>
      <w:r>
        <w:rPr>
          <w:sz w:val="22"/>
        </w:rPr>
      </w:r>
    </w:p>
    <w:p>
      <w:pPr>
        <w:pStyle w:val="Normal"/>
        <w:widowControl/>
        <w:tabs>
          <w:tab w:val="clear" w:pos="720"/>
          <w:tab w:val="center" w:pos="4680" w:leader="none"/>
        </w:tabs>
        <w:jc w:val="both"/>
        <w:rPr>
          <w:sz w:val="22"/>
        </w:rPr>
      </w:pPr>
      <w:r>
        <w:rPr>
          <w:sz w:val="22"/>
        </w:rPr>
        <w:tab/>
      </w:r>
      <w:r>
        <w:rPr>
          <w:b/>
          <w:sz w:val="22"/>
        </w:rPr>
        <w:t xml:space="preserve">PART III - STAFFING AND REPRESENTATIVES </w:t>
      </w:r>
    </w:p>
    <w:p>
      <w:pPr>
        <w:pStyle w:val="Normal"/>
        <w:widowControl/>
        <w:jc w:val="both"/>
        <w:rPr>
          <w:sz w:val="22"/>
        </w:rPr>
      </w:pPr>
      <w:r>
        <w:rPr>
          <w:sz w:val="22"/>
        </w:rPr>
      </w:r>
    </w:p>
    <w:p>
      <w:pPr>
        <w:pStyle w:val="BodyTextIndent"/>
        <w:rPr/>
      </w:pPr>
      <w:r>
        <w:rPr/>
        <w:t>1.  Contractor shall provide qualified staffing to perform the Scope of Services described by this Tasking Letter.</w:t>
      </w:r>
    </w:p>
    <w:p>
      <w:pPr>
        <w:pStyle w:val="Normal"/>
        <w:widowControl/>
        <w:jc w:val="both"/>
        <w:rPr>
          <w:sz w:val="22"/>
        </w:rPr>
      </w:pPr>
      <w:r>
        <w:rPr>
          <w:sz w:val="22"/>
        </w:rPr>
      </w:r>
    </w:p>
    <w:p>
      <w:pPr>
        <w:pStyle w:val="BodyTextIndent"/>
        <w:rPr/>
      </w:pPr>
      <w:r>
        <w:rPr/>
        <w:t>2.  Company's and Contractor's respective Representatives for daily communications pertaining to this Tasking Letter are:</w:t>
      </w:r>
    </w:p>
    <w:p>
      <w:pPr>
        <w:pStyle w:val="Normal"/>
        <w:widowControl/>
        <w:jc w:val="both"/>
        <w:rPr>
          <w:sz w:val="22"/>
        </w:rPr>
      </w:pPr>
      <w:r>
        <w:rPr>
          <w:sz w:val="22"/>
        </w:rPr>
      </w:r>
    </w:p>
    <w:p>
      <w:pPr>
        <w:pStyle w:val="Normal"/>
        <w:widowControl/>
        <w:ind w:firstLine="720" w:end="0"/>
        <w:jc w:val="both"/>
        <w:rPr>
          <w:sz w:val="22"/>
        </w:rPr>
      </w:pPr>
      <w:r>
        <w:rPr>
          <w:sz w:val="22"/>
        </w:rPr>
        <w:t>Company:</w:t>
      </w:r>
      <w:r>
        <w:rPr>
          <w:b/>
          <w:sz w:val="22"/>
        </w:rPr>
        <w:t xml:space="preserve"> </w:t>
      </w:r>
      <w:r>
        <w:rPr>
          <w:bCs/>
          <w:sz w:val="22"/>
        </w:rPr>
        <w:t>Mr. Scott Laidlaw</w:t>
        <w:tab/>
      </w:r>
      <w:r>
        <w:rPr>
          <w:sz w:val="22"/>
        </w:rPr>
        <w:tab/>
        <w:t xml:space="preserve">Contractor:  </w:t>
      </w:r>
      <w:r>
        <w:rPr>
          <w:bCs/>
          <w:sz w:val="22"/>
        </w:rPr>
        <w:t>Mr. Richard Edelman</w:t>
      </w:r>
    </w:p>
    <w:p>
      <w:pPr>
        <w:pStyle w:val="Normal"/>
        <w:widowControl/>
        <w:ind w:firstLine="720" w:end="0"/>
        <w:jc w:val="both"/>
        <w:rPr>
          <w:sz w:val="22"/>
        </w:rPr>
      </w:pPr>
      <w:r>
        <w:rPr>
          <w:sz w:val="22"/>
        </w:rPr>
        <w:t>TEL:</w:t>
        <w:tab/>
        <w:t xml:space="preserve">(713) </w:t>
        <w:tab/>
        <w:t>646-6422</w:t>
        <w:tab/>
        <w:tab/>
        <w:tab/>
        <w:t>TEL:</w:t>
        <w:tab/>
      </w:r>
      <w:r>
        <w:rPr>
          <w:bCs/>
          <w:sz w:val="22"/>
        </w:rPr>
        <w:t>201-986-4300</w:t>
      </w:r>
    </w:p>
    <w:p>
      <w:pPr>
        <w:pStyle w:val="Normal"/>
        <w:widowControl/>
        <w:ind w:firstLine="720" w:end="0"/>
        <w:jc w:val="both"/>
        <w:rPr>
          <w:sz w:val="22"/>
        </w:rPr>
      </w:pPr>
      <w:r>
        <w:rPr>
          <w:sz w:val="22"/>
        </w:rPr>
        <w:t>FAX:</w:t>
        <w:tab/>
        <w:t xml:space="preserve">(713) </w:t>
        <w:tab/>
        <w:t>646-6120</w:t>
        <w:tab/>
        <w:tab/>
        <w:tab/>
        <w:t>FAX:</w:t>
        <w:tab/>
      </w:r>
      <w:r>
        <w:rPr>
          <w:bCs/>
          <w:sz w:val="22"/>
        </w:rPr>
        <w:t>201-986-4302</w:t>
      </w:r>
    </w:p>
    <w:p>
      <w:pPr>
        <w:pStyle w:val="Normal"/>
        <w:widowControl/>
        <w:jc w:val="both"/>
        <w:rPr>
          <w:sz w:val="22"/>
        </w:rPr>
      </w:pPr>
      <w:r>
        <w:rPr>
          <w:sz w:val="22"/>
        </w:rPr>
      </w:r>
    </w:p>
    <w:p>
      <w:pPr>
        <w:pStyle w:val="Normal"/>
        <w:widowControl/>
        <w:jc w:val="both"/>
        <w:rPr>
          <w:sz w:val="22"/>
        </w:rPr>
      </w:pPr>
      <w:r>
        <w:rPr>
          <w:sz w:val="22"/>
        </w:rPr>
        <w:t>Agreed and accepted.</w:t>
      </w:r>
    </w:p>
    <w:p>
      <w:pPr>
        <w:pStyle w:val="Normal"/>
        <w:widowControl/>
        <w:jc w:val="both"/>
        <w:rPr>
          <w:sz w:val="22"/>
        </w:rPr>
      </w:pPr>
      <w:r>
        <w:rPr>
          <w:sz w:val="22"/>
        </w:rPr>
      </w:r>
    </w:p>
    <w:p>
      <w:pPr>
        <w:pStyle w:val="Normal"/>
        <w:widowControl/>
        <w:jc w:val="both"/>
        <w:rPr>
          <w:sz w:val="22"/>
        </w:rPr>
      </w:pPr>
      <w:r>
        <w:rPr>
          <w:sz w:val="22"/>
        </w:rPr>
        <w:t>COMPANY:</w:t>
        <w:tab/>
        <w:tab/>
        <w:tab/>
        <w:tab/>
        <w:tab/>
        <w:tab/>
        <w:t>CONTRACTOR:</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sz w:val="22"/>
        </w:rPr>
      </w:pPr>
      <w:r>
        <w:rPr>
          <w:sz w:val="17"/>
        </w:rPr>
        <w:t>Signature:</w:t>
      </w:r>
      <w:r>
        <w:rPr>
          <w:sz w:val="22"/>
        </w:rPr>
        <w:tab/>
        <w:tab/>
        <w:tab/>
        <w:tab/>
        <w:tab/>
        <w:tab/>
      </w:r>
      <w:r>
        <w:rPr>
          <w:sz w:val="17"/>
        </w:rPr>
        <w:t>Signature:</w:t>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sz w:val="22"/>
        </w:rPr>
      </w:pPr>
      <w:r>
        <w:rPr>
          <w:sz w:val="17"/>
        </w:rPr>
        <w:t>Name:</w:t>
      </w:r>
      <w:r>
        <w:rPr>
          <w:sz w:val="22"/>
        </w:rPr>
        <w:tab/>
        <w:tab/>
        <w:tab/>
        <w:tab/>
        <w:tab/>
        <w:tab/>
        <w:tab/>
      </w:r>
      <w:r>
        <w:rPr>
          <w:sz w:val="17"/>
        </w:rPr>
        <w:t>Name:</w:t>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sz w:val="22"/>
        </w:rPr>
      </w:pPr>
      <w:r>
        <w:rPr>
          <w:sz w:val="17"/>
        </w:rPr>
        <w:t>Title:</w:t>
      </w:r>
      <w:r>
        <w:rPr>
          <w:sz w:val="22"/>
        </w:rPr>
        <w:tab/>
        <w:tab/>
        <w:tab/>
        <w:tab/>
        <w:tab/>
        <w:tab/>
        <w:tab/>
      </w:r>
      <w:r>
        <w:rPr>
          <w:sz w:val="17"/>
        </w:rPr>
        <w:t>Title:</w:t>
      </w:r>
    </w:p>
    <w:p>
      <w:pPr>
        <w:pStyle w:val="Normal"/>
        <w:widowControl/>
        <w:jc w:val="both"/>
        <w:rPr>
          <w:sz w:val="22"/>
        </w:rPr>
      </w:pPr>
      <w:r>
        <w:rPr>
          <w:rFonts w:eastAsia="Univers"/>
          <w:sz w:val="22"/>
          <w:u w:val="single"/>
        </w:rPr>
        <w:t xml:space="preserve">                                         </w:t>
      </w:r>
      <w:r>
        <w:rPr>
          <w:sz w:val="22"/>
        </w:rPr>
        <w:tab/>
        <w:tab/>
        <w:tab/>
      </w:r>
      <w:r>
        <w:rPr>
          <w:sz w:val="22"/>
          <w:u w:val="single"/>
        </w:rPr>
        <w:tab/>
        <w:tab/>
        <w:tab/>
        <w:tab/>
        <w:t xml:space="preserve">                 </w:t>
      </w:r>
    </w:p>
    <w:p>
      <w:pPr>
        <w:pStyle w:val="Normal"/>
        <w:widowControl/>
        <w:jc w:val="both"/>
        <w:rPr/>
      </w:pPr>
      <w:r>
        <w:rPr>
          <w:sz w:val="17"/>
        </w:rPr>
        <w:t>Date:</w:t>
      </w:r>
      <w:r>
        <w:rPr>
          <w:sz w:val="22"/>
        </w:rPr>
        <w:tab/>
        <w:tab/>
        <w:tab/>
        <w:tab/>
        <w:tab/>
        <w:tab/>
        <w:tab/>
      </w:r>
      <w:r>
        <w:rPr>
          <w:sz w:val="17"/>
        </w:rPr>
        <w:t>Date:</w:t>
      </w:r>
    </w:p>
    <w:p>
      <w:pPr>
        <w:pStyle w:val="Normal"/>
        <w:widowControl/>
        <w:jc w:val="both"/>
        <w:rPr>
          <w:sz w:val="17"/>
        </w:rPr>
      </w:pPr>
      <w:r>
        <w:rPr>
          <w:sz w:val="17"/>
        </w:rPr>
      </w:r>
      <w:r>
        <w:br w:type="page"/>
      </w:r>
    </w:p>
    <w:p>
      <w:pPr>
        <w:pStyle w:val="Normal"/>
        <w:widowControl/>
        <w:jc w:val="both"/>
        <w:rPr>
          <w:sz w:val="17"/>
        </w:rPr>
      </w:pPr>
      <w:r>
        <w:rPr>
          <w:sz w:val="17"/>
        </w:rPr>
        <w:t>10Apr01</w:t>
      </w:r>
    </w:p>
    <w:p>
      <w:pPr>
        <w:pStyle w:val="Normal"/>
        <w:widowControl/>
        <w:jc w:val="both"/>
        <w:rPr>
          <w:sz w:val="17"/>
        </w:rPr>
      </w:pPr>
      <w:r>
        <w:rPr>
          <w:sz w:val="17"/>
        </w:rPr>
      </w:r>
    </w:p>
    <w:p>
      <w:pPr>
        <w:pStyle w:val="Normal"/>
        <w:widowControl/>
        <w:jc w:val="both"/>
        <w:rPr>
          <w:sz w:val="17"/>
        </w:rPr>
      </w:pPr>
      <w:r>
        <w:rPr>
          <w:sz w:val="17"/>
        </w:rPr>
        <w:t>Attachment A</w:t>
      </w:r>
    </w:p>
    <w:p>
      <w:pPr>
        <w:pStyle w:val="Normal"/>
        <w:widowControl/>
        <w:jc w:val="both"/>
        <w:rPr>
          <w:sz w:val="17"/>
        </w:rPr>
      </w:pPr>
      <w:r>
        <w:rPr>
          <w:sz w:val="17"/>
        </w:rPr>
        <w:t>Coal Initiative</w:t>
      </w:r>
    </w:p>
    <w:p>
      <w:pPr>
        <w:pStyle w:val="Normal"/>
        <w:widowControl/>
        <w:jc w:val="both"/>
        <w:rPr>
          <w:sz w:val="17"/>
        </w:rPr>
      </w:pPr>
      <w:r>
        <w:rPr>
          <w:sz w:val="17"/>
        </w:rPr>
        <w:t>Tasking Letter 1-01</w:t>
      </w:r>
    </w:p>
    <w:p>
      <w:pPr>
        <w:pStyle w:val="Normal"/>
        <w:widowControl/>
        <w:jc w:val="both"/>
        <w:rPr>
          <w:sz w:val="17"/>
        </w:rPr>
      </w:pPr>
      <w:r>
        <w:rPr>
          <w:sz w:val="17"/>
        </w:rPr>
      </w:r>
    </w:p>
    <w:p>
      <w:pPr>
        <w:pStyle w:val="Normal"/>
        <w:widowControl/>
        <w:jc w:val="both"/>
        <w:rPr>
          <w:sz w:val="17"/>
        </w:rPr>
      </w:pPr>
      <w:r>
        <w:rPr>
          <w:sz w:val="17"/>
        </w:rPr>
        <w:t xml:space="preserve">Scope of Work – </w:t>
      </w:r>
    </w:p>
    <w:p>
      <w:pPr>
        <w:pStyle w:val="Normal"/>
        <w:widowControl/>
        <w:jc w:val="both"/>
        <w:rPr>
          <w:sz w:val="17"/>
        </w:rPr>
      </w:pPr>
      <w:r>
        <w:rPr>
          <w:sz w:val="17"/>
        </w:rPr>
      </w:r>
    </w:p>
    <w:p>
      <w:pPr>
        <w:pStyle w:val="Normal"/>
        <w:widowControl/>
        <w:jc w:val="both"/>
        <w:rPr>
          <w:sz w:val="17"/>
        </w:rPr>
      </w:pPr>
      <w:r>
        <w:rPr>
          <w:sz w:val="17"/>
        </w:rPr>
        <w:t>Item 1 below is for current short fuse work.  Items 2, 3, and 4 are for future work.  Burns &amp; Roe is not currently authorized to do any work on items 2 through 4.</w:t>
      </w:r>
    </w:p>
    <w:p>
      <w:pPr>
        <w:pStyle w:val="Normal"/>
        <w:widowControl/>
        <w:jc w:val="both"/>
        <w:rPr>
          <w:sz w:val="17"/>
        </w:rPr>
      </w:pPr>
      <w:r>
        <w:rPr>
          <w:sz w:val="17"/>
        </w:rPr>
      </w:r>
    </w:p>
    <w:p>
      <w:pPr>
        <w:pStyle w:val="Normal"/>
        <w:widowControl/>
        <w:jc w:val="both"/>
        <w:rPr>
          <w:sz w:val="17"/>
        </w:rPr>
      </w:pPr>
      <w:r>
        <w:rPr>
          <w:sz w:val="17"/>
        </w:rPr>
        <w:t>Contractor to provide engineering consulting services, as follows:</w:t>
      </w:r>
    </w:p>
    <w:p>
      <w:pPr>
        <w:pStyle w:val="Normal"/>
        <w:widowControl/>
        <w:jc w:val="both"/>
        <w:rPr>
          <w:sz w:val="17"/>
        </w:rPr>
      </w:pPr>
      <w:r>
        <w:rPr>
          <w:sz w:val="17"/>
        </w:rPr>
      </w:r>
    </w:p>
    <w:p>
      <w:pPr>
        <w:pStyle w:val="Normal"/>
        <w:widowControl/>
        <w:numPr>
          <w:ilvl w:val="0"/>
          <w:numId w:val="2"/>
        </w:numPr>
        <w:jc w:val="both"/>
        <w:rPr>
          <w:sz w:val="17"/>
        </w:rPr>
      </w:pPr>
      <w:r>
        <w:rPr>
          <w:sz w:val="17"/>
        </w:rPr>
        <w:t>During time period of 11apr01 to close of business (COB) on 18apr01 (and including thurs and fri, 19apr01 and 20apr01, respectively, for follow-on questions and answers), assessment of following parameters from existing Contractor info and Contractor industry contacts for both pulverized coal (pc) and circulating fluidized bed (cfb) technologies:</w:t>
      </w:r>
    </w:p>
    <w:p>
      <w:pPr>
        <w:pStyle w:val="Normal"/>
        <w:widowControl/>
        <w:numPr>
          <w:ilvl w:val="1"/>
          <w:numId w:val="2"/>
        </w:numPr>
        <w:jc w:val="both"/>
        <w:rPr>
          <w:sz w:val="17"/>
        </w:rPr>
      </w:pPr>
      <w:r>
        <w:rPr>
          <w:sz w:val="17"/>
        </w:rPr>
        <w:t>Capital cost expressed as $/kw.</w:t>
      </w:r>
    </w:p>
    <w:p>
      <w:pPr>
        <w:pStyle w:val="Normal"/>
        <w:widowControl/>
        <w:numPr>
          <w:ilvl w:val="1"/>
          <w:numId w:val="2"/>
        </w:numPr>
        <w:jc w:val="both"/>
        <w:rPr>
          <w:sz w:val="17"/>
        </w:rPr>
      </w:pPr>
      <w:r>
        <w:rPr>
          <w:sz w:val="17"/>
        </w:rPr>
        <w:t>Net plant heat rate expressed as btu/kwh, hhv.</w:t>
      </w:r>
    </w:p>
    <w:p>
      <w:pPr>
        <w:pStyle w:val="Normal"/>
        <w:widowControl/>
        <w:numPr>
          <w:ilvl w:val="1"/>
          <w:numId w:val="2"/>
        </w:numPr>
        <w:jc w:val="both"/>
        <w:rPr>
          <w:sz w:val="17"/>
        </w:rPr>
      </w:pPr>
      <w:r>
        <w:rPr>
          <w:sz w:val="17"/>
        </w:rPr>
        <w:t>“</w:t>
      </w:r>
      <w:r>
        <w:rPr>
          <w:sz w:val="17"/>
        </w:rPr>
        <w:t>rough” total acreage requirements (e.g., for the entire plant, with amounts of acres for the major process blocks).  Also, Contractor to advise sensitivity of acreage to changes in project parameters (e.g., changes in boiler sizes; changes in types of coal being used as fuel); e.g., to go from coal “a” to coal “b” would result in a 20% increase in acreage in the up-front coal handling area.</w:t>
      </w:r>
    </w:p>
    <w:p>
      <w:pPr>
        <w:pStyle w:val="Normal"/>
        <w:widowControl/>
        <w:numPr>
          <w:ilvl w:val="1"/>
          <w:numId w:val="2"/>
        </w:numPr>
        <w:jc w:val="both"/>
        <w:rPr>
          <w:sz w:val="17"/>
        </w:rPr>
      </w:pPr>
      <w:r>
        <w:rPr>
          <w:sz w:val="17"/>
        </w:rPr>
        <w:t>IF READILY AVAILABLE - Project schedule – time period in months from NTP (i.e., award of air quality permit and financial close has occurred) to mechanical complete (i.e., first fire).</w:t>
      </w:r>
    </w:p>
    <w:p>
      <w:pPr>
        <w:pStyle w:val="Normal"/>
        <w:widowControl/>
        <w:numPr>
          <w:ilvl w:val="1"/>
          <w:numId w:val="2"/>
        </w:numPr>
        <w:jc w:val="both"/>
        <w:rPr>
          <w:sz w:val="17"/>
        </w:rPr>
      </w:pPr>
      <w:r>
        <w:rPr>
          <w:sz w:val="17"/>
        </w:rPr>
        <w:t>IF READILY AVAILABLE - Project schedule – time period in months from mechanical complete to commercial operation date (COD).</w:t>
      </w:r>
    </w:p>
    <w:p>
      <w:pPr>
        <w:pStyle w:val="Normal"/>
        <w:widowControl/>
        <w:jc w:val="both"/>
        <w:rPr>
          <w:sz w:val="17"/>
        </w:rPr>
      </w:pPr>
      <w:r>
        <w:rPr>
          <w:sz w:val="17"/>
        </w:rPr>
      </w:r>
    </w:p>
    <w:p>
      <w:pPr>
        <w:pStyle w:val="Normal"/>
        <w:widowControl/>
        <w:jc w:val="both"/>
        <w:rPr>
          <w:sz w:val="17"/>
        </w:rPr>
      </w:pPr>
      <w:r>
        <w:rPr>
          <w:sz w:val="17"/>
        </w:rPr>
        <w:t>This info is to be provided based on the following generic plant assumptions:</w:t>
      </w:r>
    </w:p>
    <w:p>
      <w:pPr>
        <w:pStyle w:val="Normal"/>
        <w:widowControl/>
        <w:numPr>
          <w:ilvl w:val="2"/>
          <w:numId w:val="2"/>
        </w:numPr>
        <w:jc w:val="both"/>
        <w:rPr>
          <w:sz w:val="17"/>
        </w:rPr>
      </w:pPr>
      <w:r>
        <w:rPr>
          <w:sz w:val="17"/>
        </w:rPr>
        <w:t>A plant size of between 500 mw to 600 mw.</w:t>
      </w:r>
    </w:p>
    <w:p>
      <w:pPr>
        <w:pStyle w:val="Normal"/>
        <w:widowControl/>
        <w:numPr>
          <w:ilvl w:val="2"/>
          <w:numId w:val="2"/>
        </w:numPr>
        <w:jc w:val="both"/>
        <w:rPr>
          <w:sz w:val="17"/>
        </w:rPr>
      </w:pPr>
      <w:r>
        <w:rPr>
          <w:sz w:val="17"/>
        </w:rPr>
        <w:t>E.g., for pc, between a 1 x 500 mw to 1 x 600 mw net power output, with 1 stg.</w:t>
      </w:r>
    </w:p>
    <w:p>
      <w:pPr>
        <w:pStyle w:val="Normal"/>
        <w:widowControl/>
        <w:numPr>
          <w:ilvl w:val="2"/>
          <w:numId w:val="2"/>
        </w:numPr>
        <w:jc w:val="both"/>
        <w:rPr>
          <w:sz w:val="17"/>
        </w:rPr>
      </w:pPr>
      <w:r>
        <w:rPr>
          <w:sz w:val="17"/>
        </w:rPr>
        <w:t>Pc is sub-critical design.</w:t>
      </w:r>
    </w:p>
    <w:p>
      <w:pPr>
        <w:pStyle w:val="Normal"/>
        <w:widowControl/>
        <w:numPr>
          <w:ilvl w:val="2"/>
          <w:numId w:val="2"/>
        </w:numPr>
        <w:jc w:val="both"/>
        <w:rPr>
          <w:sz w:val="17"/>
        </w:rPr>
      </w:pPr>
      <w:r>
        <w:rPr>
          <w:sz w:val="17"/>
        </w:rPr>
        <w:t>E.g., for cfb, between a 2 x 250 mw to 2 x 300 mw net power output, with 1 stg</w:t>
      </w:r>
    </w:p>
    <w:p>
      <w:pPr>
        <w:pStyle w:val="Normal"/>
        <w:widowControl/>
        <w:numPr>
          <w:ilvl w:val="2"/>
          <w:numId w:val="2"/>
        </w:numPr>
        <w:jc w:val="both"/>
        <w:rPr>
          <w:sz w:val="17"/>
        </w:rPr>
      </w:pPr>
      <w:r>
        <w:rPr>
          <w:sz w:val="17"/>
        </w:rPr>
        <w:t>Greenfield.</w:t>
      </w:r>
    </w:p>
    <w:p>
      <w:pPr>
        <w:pStyle w:val="Normal"/>
        <w:widowControl/>
        <w:numPr>
          <w:ilvl w:val="2"/>
          <w:numId w:val="2"/>
        </w:numPr>
        <w:jc w:val="both"/>
        <w:rPr>
          <w:sz w:val="17"/>
        </w:rPr>
      </w:pPr>
      <w:r>
        <w:rPr>
          <w:sz w:val="17"/>
        </w:rPr>
        <w:t>Attainment area, with “friendly” neighbors.</w:t>
      </w:r>
    </w:p>
    <w:p>
      <w:pPr>
        <w:pStyle w:val="Normal"/>
        <w:widowControl/>
        <w:numPr>
          <w:ilvl w:val="2"/>
          <w:numId w:val="2"/>
        </w:numPr>
        <w:jc w:val="both"/>
        <w:rPr>
          <w:sz w:val="17"/>
        </w:rPr>
      </w:pPr>
      <w:r>
        <w:rPr>
          <w:sz w:val="17"/>
        </w:rPr>
        <w:t>Texas lignite coal.</w:t>
      </w:r>
    </w:p>
    <w:p>
      <w:pPr>
        <w:pStyle w:val="Normal"/>
        <w:widowControl/>
        <w:numPr>
          <w:ilvl w:val="2"/>
          <w:numId w:val="2"/>
        </w:numPr>
        <w:jc w:val="both"/>
        <w:rPr>
          <w:sz w:val="17"/>
        </w:rPr>
      </w:pPr>
      <w:r>
        <w:rPr>
          <w:sz w:val="17"/>
        </w:rPr>
        <w:t>Gulf coast labor.</w:t>
      </w:r>
    </w:p>
    <w:p>
      <w:pPr>
        <w:pStyle w:val="Normal"/>
        <w:widowControl/>
        <w:numPr>
          <w:ilvl w:val="2"/>
          <w:numId w:val="2"/>
        </w:numPr>
        <w:jc w:val="both"/>
        <w:rPr>
          <w:sz w:val="17"/>
        </w:rPr>
      </w:pPr>
      <w:r>
        <w:rPr>
          <w:sz w:val="17"/>
        </w:rPr>
        <w:t>Non-union.</w:t>
      </w:r>
    </w:p>
    <w:p>
      <w:pPr>
        <w:pStyle w:val="Normal"/>
        <w:widowControl/>
        <w:numPr>
          <w:ilvl w:val="2"/>
          <w:numId w:val="2"/>
        </w:numPr>
        <w:jc w:val="both"/>
        <w:rPr>
          <w:sz w:val="17"/>
        </w:rPr>
      </w:pPr>
      <w:r>
        <w:rPr>
          <w:sz w:val="17"/>
        </w:rPr>
        <w:t>Field work is 5 x 10s.</w:t>
      </w:r>
    </w:p>
    <w:p>
      <w:pPr>
        <w:pStyle w:val="Normal"/>
        <w:widowControl/>
        <w:numPr>
          <w:ilvl w:val="2"/>
          <w:numId w:val="2"/>
        </w:numPr>
        <w:jc w:val="both"/>
        <w:rPr>
          <w:sz w:val="17"/>
        </w:rPr>
      </w:pPr>
      <w:r>
        <w:rPr>
          <w:sz w:val="17"/>
        </w:rPr>
        <w:t>Per diems as needed to attract/keep needed labor skill-sets.</w:t>
      </w:r>
    </w:p>
    <w:p>
      <w:pPr>
        <w:pStyle w:val="Normal"/>
        <w:widowControl/>
        <w:numPr>
          <w:ilvl w:val="2"/>
          <w:numId w:val="2"/>
        </w:numPr>
        <w:jc w:val="both"/>
        <w:rPr>
          <w:sz w:val="17"/>
        </w:rPr>
      </w:pPr>
      <w:r>
        <w:rPr>
          <w:sz w:val="17"/>
        </w:rPr>
        <w:t>Rail car delivery of coal.</w:t>
      </w:r>
    </w:p>
    <w:p>
      <w:pPr>
        <w:pStyle w:val="Normal"/>
        <w:widowControl/>
        <w:numPr>
          <w:ilvl w:val="2"/>
          <w:numId w:val="2"/>
        </w:numPr>
        <w:jc w:val="both"/>
        <w:rPr>
          <w:sz w:val="17"/>
        </w:rPr>
      </w:pPr>
      <w:r>
        <w:rPr>
          <w:sz w:val="17"/>
        </w:rPr>
        <w:t>Waste disposal on-site (e.g., 200 acreas for ash disposal area).</w:t>
      </w:r>
    </w:p>
    <w:p>
      <w:pPr>
        <w:pStyle w:val="Normal"/>
        <w:widowControl/>
        <w:numPr>
          <w:ilvl w:val="2"/>
          <w:numId w:val="2"/>
        </w:numPr>
        <w:jc w:val="both"/>
        <w:rPr>
          <w:sz w:val="17"/>
        </w:rPr>
      </w:pPr>
      <w:r>
        <w:rPr>
          <w:sz w:val="17"/>
        </w:rPr>
        <w:t>Cooling tower.</w:t>
      </w:r>
    </w:p>
    <w:p>
      <w:pPr>
        <w:pStyle w:val="Normal"/>
        <w:widowControl/>
        <w:numPr>
          <w:ilvl w:val="2"/>
          <w:numId w:val="2"/>
        </w:numPr>
        <w:jc w:val="both"/>
        <w:rPr>
          <w:sz w:val="17"/>
        </w:rPr>
      </w:pPr>
      <w:r>
        <w:rPr>
          <w:sz w:val="17"/>
        </w:rPr>
        <w:t>Expandability of one additional “same plant” unit.</w:t>
      </w:r>
    </w:p>
    <w:p>
      <w:pPr>
        <w:pStyle w:val="Normal"/>
        <w:widowControl/>
        <w:numPr>
          <w:ilvl w:val="2"/>
          <w:numId w:val="2"/>
        </w:numPr>
        <w:jc w:val="both"/>
        <w:rPr>
          <w:sz w:val="17"/>
        </w:rPr>
      </w:pPr>
      <w:r>
        <w:rPr>
          <w:sz w:val="17"/>
        </w:rPr>
        <w:t>Switchyard with 4 outgoing bays at transmission line voltages (e.g., 345kv).</w:t>
      </w:r>
    </w:p>
    <w:p>
      <w:pPr>
        <w:pStyle w:val="Normal"/>
        <w:widowControl/>
        <w:numPr>
          <w:ilvl w:val="2"/>
          <w:numId w:val="2"/>
        </w:numPr>
        <w:jc w:val="both"/>
        <w:rPr>
          <w:sz w:val="17"/>
        </w:rPr>
      </w:pPr>
      <w:r>
        <w:rPr>
          <w:sz w:val="17"/>
        </w:rPr>
        <w:t>For purposes of capital cost estimates, assume a “start permitting effort” date of 1jul01, followed by 18 months of permitting, resulting in a 1jan03 NTP.  This will allow you to escalate your major equipment and construction costs to a mid-construction time period.</w:t>
      </w:r>
    </w:p>
    <w:p>
      <w:pPr>
        <w:pStyle w:val="Normal"/>
        <w:widowControl/>
        <w:numPr>
          <w:ilvl w:val="2"/>
          <w:numId w:val="2"/>
        </w:numPr>
        <w:jc w:val="both"/>
        <w:rPr>
          <w:sz w:val="17"/>
        </w:rPr>
      </w:pPr>
      <w:r>
        <w:rPr>
          <w:sz w:val="17"/>
        </w:rPr>
        <w:t>Do not include development costs (e.g., permitting costs, conceptual engineering conducted in support of permitting).</w:t>
      </w:r>
    </w:p>
    <w:p>
      <w:pPr>
        <w:pStyle w:val="Normal"/>
        <w:widowControl/>
        <w:numPr>
          <w:ilvl w:val="2"/>
          <w:numId w:val="2"/>
        </w:numPr>
        <w:jc w:val="both"/>
        <w:rPr>
          <w:sz w:val="17"/>
        </w:rPr>
      </w:pPr>
      <w:r>
        <w:rPr>
          <w:sz w:val="17"/>
        </w:rPr>
        <w:t>Do not include land acquisition costs.</w:t>
      </w:r>
    </w:p>
    <w:p>
      <w:pPr>
        <w:pStyle w:val="Normal"/>
        <w:widowControl/>
        <w:numPr>
          <w:ilvl w:val="2"/>
          <w:numId w:val="2"/>
        </w:numPr>
        <w:jc w:val="both"/>
        <w:rPr>
          <w:sz w:val="17"/>
        </w:rPr>
      </w:pPr>
      <w:r>
        <w:rPr>
          <w:sz w:val="17"/>
        </w:rPr>
        <w:t>Do not include IDC (i.e., cost of money during construction).</w:t>
      </w:r>
    </w:p>
    <w:p>
      <w:pPr>
        <w:pStyle w:val="Normal"/>
        <w:widowControl/>
        <w:jc w:val="both"/>
        <w:rPr>
          <w:sz w:val="17"/>
        </w:rPr>
      </w:pPr>
      <w:r>
        <w:rPr>
          <w:sz w:val="17"/>
        </w:rPr>
      </w:r>
    </w:p>
    <w:p>
      <w:pPr>
        <w:pStyle w:val="Normal"/>
        <w:widowControl/>
        <w:jc w:val="both"/>
        <w:rPr>
          <w:sz w:val="17"/>
        </w:rPr>
      </w:pPr>
      <w:r>
        <w:rPr>
          <w:sz w:val="17"/>
        </w:rPr>
        <w:t>It is requested that Contractor provide list of assumptions made (i.e., what’s in, what’s out) with final work product.</w:t>
      </w:r>
    </w:p>
    <w:p>
      <w:pPr>
        <w:pStyle w:val="Normal"/>
        <w:widowControl/>
        <w:jc w:val="both"/>
        <w:rPr>
          <w:sz w:val="17"/>
        </w:rPr>
      </w:pPr>
      <w:r>
        <w:rPr>
          <w:sz w:val="17"/>
        </w:rPr>
      </w:r>
    </w:p>
    <w:p>
      <w:pPr>
        <w:pStyle w:val="Normal"/>
        <w:widowControl/>
        <w:jc w:val="both"/>
        <w:rPr>
          <w:sz w:val="17"/>
        </w:rPr>
      </w:pPr>
      <w:r>
        <w:rPr>
          <w:sz w:val="17"/>
        </w:rPr>
        <w:t>Per prior conversations, it is anticipated that this effort will take one week and should not cost more than $10,000.  Contractor to advise both verbally and in writing when 75% of that amount has been expended.</w:t>
      </w:r>
    </w:p>
    <w:p>
      <w:pPr>
        <w:pStyle w:val="Normal"/>
        <w:widowControl/>
        <w:jc w:val="both"/>
        <w:rPr>
          <w:sz w:val="17"/>
        </w:rPr>
      </w:pPr>
      <w:r>
        <w:rPr>
          <w:sz w:val="17"/>
        </w:rPr>
      </w:r>
    </w:p>
    <w:p>
      <w:pPr>
        <w:pStyle w:val="Normal"/>
        <w:widowControl/>
        <w:numPr>
          <w:ilvl w:val="0"/>
          <w:numId w:val="2"/>
        </w:numPr>
        <w:jc w:val="both"/>
        <w:rPr>
          <w:sz w:val="17"/>
        </w:rPr>
      </w:pPr>
      <w:r>
        <w:rPr>
          <w:sz w:val="17"/>
        </w:rPr>
        <w:t>Preliminary site layout work (e.g., CADD work, civil and mechanical engineering disciplines) on an as-needed basis for several different equipment types and configurations at different proposed project locations.  Enron to communicate requirements and timing up front on each separate request.  Then, the parties are to discuss and agree in writing on the specific details of each additional work scope item prior to such additional work being conducted.</w:t>
      </w:r>
    </w:p>
    <w:p>
      <w:pPr>
        <w:pStyle w:val="Normal"/>
        <w:widowControl/>
        <w:numPr>
          <w:ilvl w:val="0"/>
          <w:numId w:val="2"/>
        </w:numPr>
        <w:jc w:val="both"/>
        <w:rPr>
          <w:sz w:val="17"/>
        </w:rPr>
      </w:pPr>
      <w:r>
        <w:rPr>
          <w:sz w:val="17"/>
        </w:rPr>
        <w:t>Conceptual engineering in support of preparation of environmental permit applications and submittal packages at different proposed project locations.  Enron to communicate requirements and timing up front on each separate request.  Then, the parties are to discuss and agree in writing on the specific details of each additional work scope item prior to such additional work being conducted.</w:t>
      </w:r>
    </w:p>
    <w:p>
      <w:pPr>
        <w:pStyle w:val="Normal"/>
        <w:widowControl/>
        <w:numPr>
          <w:ilvl w:val="0"/>
          <w:numId w:val="2"/>
        </w:numPr>
        <w:jc w:val="both"/>
        <w:rPr>
          <w:sz w:val="17"/>
        </w:rPr>
      </w:pPr>
      <w:r>
        <w:rPr>
          <w:sz w:val="17"/>
        </w:rPr>
        <w:t>Preliminary engineering in support of preparation of EPC contracts, each at different proposed project locations.  Enron to communicate requirements and timing up front on each separate request.  Then, the parties are to discuss and agree in writing on the specific details of each additional work scope item prior to such additional work being conducted.</w:t>
      </w:r>
    </w:p>
    <w:p>
      <w:pPr>
        <w:pStyle w:val="Normal"/>
        <w:widowControl/>
        <w:jc w:val="both"/>
        <w:rPr>
          <w:sz w:val="17"/>
        </w:rPr>
      </w:pPr>
      <w:r>
        <w:rPr>
          <w:sz w:val="17"/>
        </w:rPr>
      </w:r>
    </w:p>
    <w:sectPr>
      <w:footerReference w:type="default" r:id="rId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8"/>
      </w:rPr>
    </w:pPr>
    <w:r>
      <w:rPr>
        <w:sz w:val="18"/>
      </w:rPr>
      <w:t>Coal Initiative Tasking Letter 1–01</w:t>
    </w:r>
  </w:p>
  <w:p>
    <w:pPr>
      <w:pStyle w:val="Normal"/>
      <w:spacing w:lineRule="exact" w:line="240"/>
      <w:rPr/>
    </w:pPr>
    <w:r>
      <w:rPr>
        <w:sz w:val="18"/>
      </w:rPr>
      <w:tab/>
    </w:r>
    <w:r>
      <w:rPr/>
      <w:tab/>
      <w:tab/>
      <w:tab/>
      <w:tab/>
      <w:tab/>
      <w:tab/>
      <w:tab/>
    </w:r>
    <w:r>
      <w:rPr>
        <w:sz w:val="17"/>
      </w:rPr>
      <w:t xml:space="preserve">Page </w:t>
    </w:r>
    <w:r>
      <w:rPr>
        <w:sz w:val="17"/>
      </w:rPr>
      <w:fldChar w:fldCharType="begin"/>
    </w:r>
    <w:r>
      <w:rPr>
        <w:sz w:val="17"/>
      </w:rPr>
      <w:instrText xml:space="preserve"> PAGE </w:instrText>
    </w:r>
    <w:r>
      <w:rPr>
        <w:sz w:val="17"/>
      </w:rPr>
      <w:fldChar w:fldCharType="separate"/>
    </w:r>
    <w:r>
      <w:rPr>
        <w:sz w:val="17"/>
      </w:rPr>
      <w:t>3</w:t>
    </w:r>
    <w:r>
      <w:rPr>
        <w:sz w:val="17"/>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lowerRoman"/>
      <w:lvlText w:val="%2."/>
      <w:lvlJc w:val="end"/>
      <w:pPr>
        <w:tabs>
          <w:tab w:val="num" w:pos="720"/>
        </w:tabs>
        <w:ind w:start="720" w:hanging="360"/>
      </w:pPr>
      <w:rPr/>
    </w:lvl>
    <w:lvl w:ilvl="2">
      <w:start w:val="1"/>
      <w:numFmt w:val="lowerLetter"/>
      <w:lvlText w:val="%3)"/>
      <w:lvlJc w:val="start"/>
      <w:pPr>
        <w:tabs>
          <w:tab w:val="num" w:pos="1620"/>
        </w:tabs>
        <w:ind w:start="162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sz w:val="20"/>
    </w:rPr>
  </w:style>
  <w:style w:type="paragraph" w:styleId="Heading2">
    <w:name w:val="heading 2"/>
    <w:basedOn w:val="Normal"/>
    <w:next w:val="Normal"/>
    <w:qFormat/>
    <w:pPr>
      <w:keepNext w:val="true"/>
      <w:widowControl/>
      <w:numPr>
        <w:ilvl w:val="1"/>
        <w:numId w:val="1"/>
      </w:numPr>
      <w:jc w:val="both"/>
      <w:outlineLvl w:val="1"/>
    </w:pPr>
    <w:rPr>
      <w:rFonts w:ascii="Arial" w:hAnsi="Arial" w:cs="Arial"/>
      <w:b/>
      <w:u w:val="single"/>
    </w:rPr>
  </w:style>
  <w:style w:type="paragraph" w:styleId="Heading3">
    <w:name w:val="heading 3"/>
    <w:basedOn w:val="Normal"/>
    <w:next w:val="Normal"/>
    <w:qFormat/>
    <w:pPr>
      <w:keepNext w:val="true"/>
      <w:widowControl/>
      <w:numPr>
        <w:ilvl w:val="2"/>
        <w:numId w:val="1"/>
      </w:numPr>
      <w:tabs>
        <w:tab w:val="clear" w:pos="720"/>
        <w:tab w:val="center" w:pos="4680" w:leader="none"/>
      </w:tabs>
      <w:jc w:val="center"/>
      <w:outlineLvl w:val="2"/>
    </w:pPr>
    <w:rPr>
      <w:b/>
      <w:sz w:val="22"/>
    </w:rPr>
  </w:style>
  <w:style w:type="paragraph" w:styleId="Heading4">
    <w:name w:val="heading 4"/>
    <w:basedOn w:val="Normal"/>
    <w:next w:val="Normal"/>
    <w:qFormat/>
    <w:pPr>
      <w:keepNext w:val="true"/>
      <w:widowControl/>
      <w:numPr>
        <w:ilvl w:val="3"/>
        <w:numId w:val="1"/>
      </w:numPr>
      <w:jc w:val="both"/>
      <w:outlineLvl w:val="3"/>
    </w:pPr>
    <w:rPr>
      <w:rFonts w:ascii="Arial" w:hAnsi="Arial" w:cs="Arial"/>
      <w:b/>
    </w:rPr>
  </w:style>
  <w:style w:type="paragraph" w:styleId="Heading5">
    <w:name w:val="heading 5"/>
    <w:basedOn w:val="Normal"/>
    <w:next w:val="Normal"/>
    <w:qFormat/>
    <w:pPr>
      <w:keepNext w:val="true"/>
      <w:widowControl/>
      <w:numPr>
        <w:ilvl w:val="4"/>
        <w:numId w:val="1"/>
      </w:numPr>
      <w:tabs>
        <w:tab w:val="clear" w:pos="720"/>
        <w:tab w:val="center" w:pos="4680" w:leader="none"/>
      </w:tabs>
      <w:jc w:val="both"/>
      <w:outlineLvl w:val="4"/>
    </w:pPr>
    <w:rPr>
      <w:b/>
      <w:sz w:val="22"/>
    </w:rPr>
  </w:style>
  <w:style w:type="paragraph" w:styleId="Heading6">
    <w:name w:val="heading 6"/>
    <w:basedOn w:val="Normal"/>
    <w:next w:val="Normal"/>
    <w:qFormat/>
    <w:pPr>
      <w:keepNext w:val="true"/>
      <w:widowControl/>
      <w:numPr>
        <w:ilvl w:val="5"/>
        <w:numId w:val="1"/>
      </w:numPr>
      <w:jc w:val="center"/>
      <w:outlineLvl w:val="5"/>
    </w:pPr>
    <w:rPr>
      <w:rFonts w:ascii="Arial" w:hAnsi="Arial" w:cs="Arial"/>
      <w:b/>
    </w:rPr>
  </w:style>
  <w:style w:type="paragraph" w:styleId="Heading8">
    <w:name w:val="heading 8"/>
    <w:basedOn w:val="Normal"/>
    <w:next w:val="Normal"/>
    <w:qFormat/>
    <w:pPr>
      <w:keepNext w:val="true"/>
      <w:widowControl/>
      <w:numPr>
        <w:ilvl w:val="7"/>
        <w:numId w:val="1"/>
      </w:numPr>
      <w:outlineLvl w:val="7"/>
    </w:pPr>
    <w:rPr>
      <w:rFonts w:ascii="Arial" w:hAnsi="Arial" w:cs="Arial"/>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pPr>
    <w:rPr>
      <w:rFonts w:ascii="Arial" w:hAnsi="Arial" w:cs="Arial"/>
    </w:rPr>
  </w:style>
  <w:style w:type="paragraph" w:styleId="CommentText">
    <w:name w:val="Comment Text"/>
    <w:basedOn w:val="Normal"/>
    <w:qFormat/>
    <w:pPr>
      <w:widowControl/>
    </w:pPr>
    <w:rPr>
      <w:rFonts w:ascii="Times New Roman" w:hAnsi="Times New Roman" w:cs="Times New Roman"/>
      <w:sz w:val="20"/>
    </w:rPr>
  </w:style>
  <w:style w:type="paragraph" w:styleId="BodyTextIndent">
    <w:name w:val="Body Text Indent"/>
    <w:basedOn w:val="Normal"/>
    <w:pPr>
      <w:widowControl/>
      <w:ind w:hanging="360" w:start="36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2001-04-11T00:29:00Z</dcterms:created>
  <dc:creator>eecc</dc:creator>
  <dc:description/>
  <dc:language>en-CA</dc:language>
  <cp:lastModifiedBy>Scott Laidlaw</cp:lastModifiedBy>
  <cp:lastPrinted>2001-04-11T11:39:00Z</cp:lastPrinted>
  <dcterms:modified xsi:type="dcterms:W3CDTF">2001-04-11T14:52:00Z</dcterms:modified>
  <cp:revision>6</cp:revision>
  <dc:subject/>
  <dc:title/>
</cp:coreProperties>
</file>