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Reference No.:  CANAT-02</w:t>
      </w:r>
    </w:p>
    <w:p>
      <w:pPr>
        <w:pStyle w:val="Heading5"/>
        <w:ind w:hanging="0" w:start="0"/>
        <w:rPr/>
      </w:pPr>
      <w:r>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t>AMENDED AND RESTATED MASTER FIRM GAS PURCHASE/SALE AGREEMENT</w:t>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t>between</w:t>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t xml:space="preserve">ENRON CANADA CORP., </w:t>
      </w:r>
    </w:p>
    <w:p>
      <w:pPr>
        <w:pStyle w:val="Normal"/>
        <w:tabs>
          <w:tab w:val="clear" w:pos="720"/>
          <w:tab w:val="left" w:pos="4680" w:leader="none"/>
        </w:tabs>
        <w:jc w:val="center"/>
        <w:rPr>
          <w:rFonts w:ascii="Arial" w:hAnsi="Arial" w:cs="Arial"/>
          <w:sz w:val="20"/>
        </w:rPr>
      </w:pPr>
      <w:r>
        <w:rPr>
          <w:rFonts w:cs="Arial" w:ascii="Arial" w:hAnsi="Arial"/>
          <w:sz w:val="20"/>
        </w:rPr>
        <w:t>a body corporate under the laws of the Province of Alberta</w:t>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t>and</w:t>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color w:val="0000FF"/>
          <w:sz w:val="20"/>
        </w:rPr>
      </w:pPr>
      <w:r>
        <w:rPr>
          <w:rFonts w:cs="Arial" w:ascii="Arial" w:hAnsi="Arial"/>
          <w:color w:val="0000FF"/>
          <w:sz w:val="20"/>
        </w:rPr>
        <w:t>CANADIAN NATURAL RESOURCES,</w:t>
      </w:r>
    </w:p>
    <w:p>
      <w:pPr>
        <w:pStyle w:val="Normal"/>
        <w:tabs>
          <w:tab w:val="clear" w:pos="720"/>
          <w:tab w:val="left" w:pos="4680" w:leader="none"/>
        </w:tabs>
        <w:jc w:val="center"/>
        <w:rPr>
          <w:rFonts w:ascii="Arial" w:hAnsi="Arial" w:cs="Arial"/>
          <w:color w:val="0000FF"/>
          <w:sz w:val="20"/>
        </w:rPr>
      </w:pPr>
      <w:r>
        <w:rPr>
          <w:rFonts w:cs="Arial" w:ascii="Arial" w:hAnsi="Arial"/>
          <w:color w:val="0000FF"/>
          <w:sz w:val="20"/>
        </w:rPr>
        <w:t>a general partnership under the laws of the Province of Alberta</w:t>
      </w:r>
    </w:p>
    <w:p>
      <w:pPr>
        <w:pStyle w:val="Normal"/>
        <w:tabs>
          <w:tab w:val="clear" w:pos="720"/>
          <w:tab w:val="left" w:pos="4680" w:leader="none"/>
        </w:tabs>
        <w:jc w:val="center"/>
        <w:rPr>
          <w:rFonts w:ascii="Arial" w:hAnsi="Arial" w:cs="Arial"/>
          <w:color w:val="0000FF"/>
          <w:sz w:val="20"/>
        </w:rPr>
      </w:pPr>
      <w:r>
        <w:rPr>
          <w:rFonts w:cs="Arial" w:ascii="Arial" w:hAnsi="Arial"/>
          <w:color w:val="0000FF"/>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4680" w:leader="none"/>
        </w:tabs>
        <w:jc w:val="center"/>
        <w:rPr>
          <w:rFonts w:ascii="Arial" w:hAnsi="Arial" w:cs="Arial"/>
          <w:color w:val="0000FF"/>
          <w:sz w:val="20"/>
        </w:rPr>
      </w:pPr>
      <w:r>
        <w:rPr>
          <w:rFonts w:cs="Arial" w:ascii="Arial" w:hAnsi="Arial"/>
          <w:color w:val="0000FF"/>
          <w:sz w:val="20"/>
        </w:rPr>
        <w:t>Dated:  February 15, 2000</w:t>
      </w:r>
    </w:p>
    <w:p>
      <w:pPr>
        <w:pStyle w:val="Normal"/>
        <w:rPr>
          <w:rFonts w:ascii="Arial" w:hAnsi="Arial" w:cs="Arial"/>
          <w:color w:val="0000FF"/>
          <w:sz w:val="20"/>
        </w:rPr>
      </w:pPr>
      <w:r>
        <w:rPr>
          <w:rFonts w:cs="Arial" w:ascii="Arial" w:hAnsi="Arial"/>
          <w:color w:val="0000FF"/>
          <w:sz w:val="20"/>
        </w:rPr>
      </w:r>
    </w:p>
    <w:p>
      <w:pPr>
        <w:pStyle w:val="Normal"/>
        <w:rPr>
          <w:rFonts w:ascii="Arial" w:hAnsi="Arial" w:cs="Arial"/>
          <w:sz w:val="20"/>
        </w:rPr>
      </w:pPr>
      <w:r>
        <w:rPr>
          <w:rFonts w:cs="Arial" w:ascii="Arial" w:hAnsi="Arial"/>
          <w:sz w:val="20"/>
        </w:rPr>
      </w:r>
    </w:p>
    <w:p>
      <w:pPr>
        <w:pStyle w:val="Normal"/>
        <w:jc w:val="center"/>
        <w:rPr>
          <w:rFonts w:ascii="Arial" w:hAnsi="Arial" w:cs="Arial"/>
          <w:b/>
          <w:sz w:val="20"/>
        </w:rPr>
      </w:pPr>
      <w:r>
        <w:rPr>
          <w:rFonts w:cs="Arial" w:ascii="Arial" w:hAnsi="Arial"/>
          <w:b/>
          <w:sz w:val="20"/>
        </w:rPr>
        <w:t>TABLE OF CONTENTS</w:t>
      </w:r>
    </w:p>
    <w:p>
      <w:pPr>
        <w:pStyle w:val="Normal"/>
        <w:pBdr>
          <w:bottom w:val="single" w:sz="12" w:space="1" w:color="000000"/>
        </w:pBdr>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sdt>
      <w:sdtPr>
        <w:docPartObj>
          <w:docPartGallery w:val="Table of Contents"/>
          <w:docPartUnique w:val="true"/>
        </w:docPartObj>
      </w:sdtPr>
      <w:sdtContent>
        <w:p>
          <w:pPr>
            <w:pStyle w:val="TOC1"/>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s>
        <w:jc w:val="both"/>
        <w:rPr>
          <w:rFonts w:ascii="Arial" w:hAnsi="Arial" w:cs="Arial"/>
          <w:sz w:val="20"/>
        </w:rPr>
      </w:pPr>
      <w:r>
        <w:rPr>
          <w:rFonts w:cs="Arial" w:ascii="Arial" w:hAnsi="Arial"/>
          <w:sz w:val="20"/>
        </w:rPr>
        <w:tab/>
        <w:t>EXHIBIT “A” - Notices and Communications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450" w:leader="none"/>
        </w:tabs>
        <w:rPr>
          <w:rFonts w:ascii="Arial" w:hAnsi="Arial" w:cs="Arial"/>
          <w:sz w:val="20"/>
        </w:rPr>
      </w:pPr>
      <w:r>
        <w:rPr>
          <w:rFonts w:cs="Arial" w:ascii="Arial" w:hAnsi="Arial"/>
          <w:sz w:val="20"/>
        </w:rPr>
        <w:tab/>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Arial" w:hAnsi="Arial" w:cs="Arial"/>
          <w:b/>
          <w:sz w:val="20"/>
        </w:rPr>
      </w:pPr>
      <w:r>
        <w:rPr>
          <w:rFonts w:cs="Arial" w:ascii="Arial" w:hAnsi="Arial"/>
          <w:b/>
          <w:sz w:val="20"/>
        </w:rPr>
        <w:t>AMENDED AND RESTATED 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Arial" w:hAnsi="Arial" w:cs="Arial"/>
          <w:b/>
          <w:sz w:val="20"/>
        </w:rPr>
      </w:pPr>
      <w:r>
        <w:rPr>
          <w:rFonts w:cs="Arial" w:ascii="Arial" w:hAnsi="Arial"/>
          <w:b/>
          <w:sz w:val="20"/>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b/>
          <w:sz w:val="20"/>
        </w:rPr>
        <w:t>THIS AGREEMENT</w:t>
      </w:r>
      <w:r>
        <w:rPr>
          <w:rFonts w:cs="Arial" w:ascii="Arial" w:hAnsi="Arial"/>
          <w:sz w:val="20"/>
        </w:rPr>
        <w:t>, which amends and restates the Prior Master Firm Gas Purchase/Sale Agreement, is made as of the 15th day of February, 2000, with effect as of the 26</w:t>
      </w:r>
      <w:r>
        <w:rPr>
          <w:rFonts w:cs="Arial" w:ascii="Arial" w:hAnsi="Arial"/>
          <w:sz w:val="20"/>
          <w:vertAlign w:val="superscript"/>
        </w:rPr>
        <w:t>th</w:t>
      </w:r>
      <w:r>
        <w:rPr>
          <w:rFonts w:cs="Arial" w:ascii="Arial" w:hAnsi="Arial"/>
          <w:sz w:val="20"/>
        </w:rPr>
        <w:t xml:space="preserve"> day of August, 1993 (the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ind w:start="2160" w:end="2160"/>
        <w:jc w:val="both"/>
        <w:rPr/>
      </w:pPr>
      <w:r>
        <w:rPr>
          <w:rFonts w:cs="Arial" w:ascii="Arial" w:hAnsi="Arial"/>
          <w:b/>
          <w:color w:val="0000FF"/>
          <w:sz w:val="20"/>
        </w:rPr>
        <w:t>Canadian Natural Resources</w:t>
      </w:r>
      <w:r>
        <w:rPr>
          <w:rFonts w:cs="Arial" w:ascii="Arial" w:hAnsi="Arial"/>
          <w:sz w:val="20"/>
        </w:rPr>
        <w:t xml:space="preserve">, a general partnership under the laws of the Province of Alberta, with offices in </w:t>
      </w:r>
      <w:r>
        <w:rPr>
          <w:rFonts w:cs="Arial" w:ascii="Arial" w:hAnsi="Arial"/>
          <w:color w:val="0000FF"/>
          <w:sz w:val="20"/>
        </w:rPr>
        <w:t>Calgary, Alberta</w:t>
      </w:r>
      <w:r>
        <w:rPr>
          <w:rFonts w:cs="Arial" w:ascii="Arial" w:hAnsi="Arial"/>
          <w:sz w:val="20"/>
        </w:rPr>
        <w:t xml:space="preserve"> (hereinafter referred to as “Customer”)  </w:t>
      </w:r>
    </w:p>
    <w:p>
      <w:pPr>
        <w:pStyle w:val="Normal"/>
        <w:ind w:start="2160" w:end="2160"/>
        <w:jc w:val="both"/>
        <w:rPr>
          <w:rFonts w:ascii="Arial" w:hAnsi="Arial" w:cs="Arial"/>
          <w:sz w:val="20"/>
        </w:rPr>
      </w:pPr>
      <w:r>
        <w:rPr>
          <w:rFonts w:cs="Arial" w:ascii="Arial" w:hAnsi="Arial"/>
          <w:sz w:val="20"/>
        </w:rPr>
      </w:r>
    </w:p>
    <w:p>
      <w:pPr>
        <w:pStyle w:val="Normal"/>
        <w:ind w:start="2160" w:end="2160"/>
        <w:jc w:val="center"/>
        <w:rPr>
          <w:rFonts w:ascii="Arial" w:hAnsi="Arial" w:cs="Arial"/>
          <w:sz w:val="20"/>
        </w:rPr>
      </w:pPr>
      <w:r>
        <w:rPr>
          <w:rFonts w:cs="Arial" w:ascii="Arial" w:hAnsi="Arial"/>
          <w:sz w:val="20"/>
        </w:rPr>
        <w:t>and</w:t>
      </w:r>
    </w:p>
    <w:p>
      <w:pPr>
        <w:pStyle w:val="Normal"/>
        <w:ind w:start="2160" w:end="2160"/>
        <w:jc w:val="center"/>
        <w:rPr>
          <w:rFonts w:ascii="Arial" w:hAnsi="Arial" w:cs="Arial"/>
          <w:sz w:val="20"/>
        </w:rPr>
      </w:pPr>
      <w:r>
        <w:rPr>
          <w:rFonts w:cs="Arial" w:ascii="Arial" w:hAnsi="Arial"/>
          <w:sz w:val="20"/>
        </w:rPr>
      </w:r>
    </w:p>
    <w:p>
      <w:pPr>
        <w:pStyle w:val="Normal"/>
        <w:ind w:start="2160" w:end="2160"/>
        <w:jc w:val="both"/>
        <w:rPr/>
      </w:pPr>
      <w:r>
        <w:rPr>
          <w:rFonts w:cs="Arial" w:ascii="Arial" w:hAnsi="Arial"/>
          <w:b/>
          <w:sz w:val="20"/>
        </w:rPr>
        <w:t>Enron Canada Corp.</w:t>
      </w:r>
      <w:r>
        <w:rPr>
          <w:rFonts w:cs="Arial" w:ascii="Arial" w:hAnsi="Arial"/>
          <w:sz w:val="20"/>
        </w:rPr>
        <w:t xml:space="preserve">, a body corporate under the laws of the Province of Alberta, with offices in Calgary, Alberta (hereinafter referred to as “Enron Canada”)  </w:t>
      </w:r>
    </w:p>
    <w:p>
      <w:pPr>
        <w:pStyle w:val="Normal"/>
        <w:ind w:start="2160" w:end="2160"/>
        <w:jc w:val="both"/>
        <w:rPr>
          <w:rFonts w:ascii="Arial" w:hAnsi="Arial" w:cs="Arial"/>
          <w:sz w:val="20"/>
        </w:rPr>
      </w:pPr>
      <w:r>
        <w:rPr>
          <w:rFonts w:cs="Arial" w:ascii="Arial" w:hAnsi="Arial"/>
          <w:sz w:val="20"/>
        </w:rPr>
      </w:r>
    </w:p>
    <w:p>
      <w:pPr>
        <w:pStyle w:val="Heading2"/>
        <w:rPr>
          <w:rFonts w:ascii="Arial" w:hAnsi="Arial" w:cs="Arial"/>
          <w:sz w:val="20"/>
        </w:rPr>
      </w:pPr>
      <w:r>
        <w:rPr>
          <w:rFonts w:cs="Arial" w:ascii="Arial" w:hAnsi="Arial"/>
          <w:sz w:val="20"/>
        </w:rPr>
        <w:t>WHEREAS, Customer and Enron Canada may from time to time enter into firm natural gas purchase and sale transactions; and</w:t>
      </w:r>
    </w:p>
    <w:p>
      <w:pPr>
        <w:pStyle w:val="Heading2"/>
        <w:rPr>
          <w:rFonts w:ascii="Arial" w:hAnsi="Arial" w:cs="Arial"/>
          <w:sz w:val="20"/>
        </w:rPr>
      </w:pPr>
      <w:r>
        <w:rPr>
          <w:rFonts w:cs="Arial" w:ascii="Arial" w:hAnsi="Arial"/>
          <w:sz w:val="20"/>
        </w:rPr>
        <w:t>WHEREAS, the parties desire to set forth certain terms and conditions applicable to any future natural gas purchase and sale transaction;</w:t>
      </w:r>
    </w:p>
    <w:p>
      <w:pPr>
        <w:pStyle w:val="Heading2"/>
        <w:rPr>
          <w:rFonts w:ascii="Arial" w:hAnsi="Arial" w:cs="Arial"/>
          <w:sz w:val="20"/>
        </w:rPr>
      </w:pPr>
      <w:r>
        <w:rPr>
          <w:rFonts w:cs="Arial" w:ascii="Arial" w:hAnsi="Arial"/>
          <w:sz w:val="20"/>
        </w:rPr>
        <w:t>NOW, THEREFORE, in consideration of the premises and mutual covenants contained herein, Customer and Enron Canada mutually agree as follows:</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w:t>
      </w:r>
      <w:r>
        <w:rPr>
          <w:sz w:val="20"/>
          <w:rFonts w:cs="Arial" w:ascii="Arial" w:hAnsi="Arial"/>
        </w:rPr>
        <w:fldChar w:fldCharType="end"/>
      </w:r>
      <w:r>
        <w:rPr>
          <w:rFonts w:cs="Arial" w:ascii="Arial" w:hAnsi="Arial"/>
          <w:sz w:val="20"/>
        </w:rPr>
        <w:br/>
        <w:t>DEFINITIONS</w:t>
      </w:r>
    </w:p>
    <w:p>
      <w:pPr>
        <w:pStyle w:val="Heading2"/>
        <w:rPr>
          <w:rFonts w:ascii="Arial" w:hAnsi="Arial" w:cs="Arial"/>
          <w:vanish/>
          <w:color w:val="FF0000"/>
          <w:sz w:val="2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w:t>
      </w:r>
      <w:r>
        <w:rPr>
          <w:sz w:val="20"/>
          <w:rFonts w:cs="Arial" w:ascii="Arial" w:hAnsi="Arial"/>
        </w:rPr>
        <w:fldChar w:fldCharType="end"/>
      </w:r>
      <w:r>
        <w:rPr>
          <w:rFonts w:cs="Arial" w:ascii="Arial" w:hAnsi="Arial"/>
          <w:sz w:val="20"/>
        </w:rPr>
        <w:tab/>
      </w:r>
      <w:r>
        <w:rPr>
          <w:rFonts w:cs="Arial" w:ascii="Arial" w:hAnsi="Arial"/>
          <w:sz w:val="20"/>
          <w:u w:val="single"/>
        </w:rPr>
        <w:t>Usage and Definitions</w:t>
      </w:r>
      <w:r>
        <w:rPr>
          <w:rFonts w:cs="Arial" w:ascii="Arial" w:hAnsi="Arial"/>
          <w:sz w:val="20"/>
        </w:rPr>
        <w:t xml:space="preserve">.  </w:t>
      </w:r>
    </w:p>
    <w:p>
      <w:pPr>
        <w:pStyle w:val="Justified"/>
        <w:rPr>
          <w:rFonts w:ascii="Arial" w:hAnsi="Arial" w:cs="Arial"/>
          <w:sz w:val="20"/>
        </w:rPr>
      </w:pPr>
      <w:r>
        <w:rPr>
          <w:rFonts w:cs="Arial" w:ascii="Arial" w:hAnsi="Arial"/>
          <w:sz w:val="20"/>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10</w:t>
      </w:r>
      <w:r>
        <w:rPr>
          <w:rFonts w:cs="Arial" w:ascii="Arial" w:hAnsi="Arial"/>
          <w:i/>
          <w:position w:val="6"/>
          <w:sz w:val="20"/>
          <w:u w:val="single"/>
        </w:rPr>
        <w:t>3</w:t>
      </w:r>
      <w:r>
        <w:rPr>
          <w:rFonts w:cs="Arial" w:ascii="Arial" w:hAnsi="Arial"/>
          <w:i/>
          <w:sz w:val="20"/>
          <w:u w:val="single"/>
        </w:rPr>
        <w:noBreakHyphen/>
        <w:t>m</w:t>
      </w:r>
      <w:r>
        <w:rPr>
          <w:rFonts w:cs="Arial" w:ascii="Arial" w:hAnsi="Arial"/>
          <w:i/>
          <w:position w:val="6"/>
          <w:sz w:val="20"/>
          <w:u w:val="single"/>
        </w:rPr>
        <w:t>3</w:t>
      </w:r>
      <w:r>
        <w:rPr>
          <w:rFonts w:cs="Arial" w:ascii="Arial" w:hAnsi="Arial"/>
          <w:sz w:val="20"/>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Acceleration of Obligations</w:t>
      </w:r>
      <w:r>
        <w:rPr>
          <w:rFonts w:cs="Arial" w:ascii="Arial" w:hAnsi="Arial"/>
          <w:sz w:val="20"/>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AECO Day Price</w:t>
      </w:r>
      <w:r>
        <w:rPr>
          <w:rFonts w:cs="Arial" w:ascii="Arial" w:hAnsi="Arial"/>
          <w:sz w:val="20"/>
        </w:rPr>
        <w:t xml:space="preserve">” means for any Day, the price set forth for the specific Day in the first edition of the </w:t>
      </w:r>
      <w:r>
        <w:rPr>
          <w:rFonts w:cs="Arial" w:ascii="Arial" w:hAnsi="Arial"/>
          <w:i/>
          <w:sz w:val="20"/>
          <w:u w:val="single"/>
        </w:rPr>
        <w:t xml:space="preserve">Canadian Gas Price Reporter </w:t>
      </w:r>
      <w:r>
        <w:rPr>
          <w:rFonts w:cs="Arial" w:ascii="Arial" w:hAnsi="Arial"/>
          <w:sz w:val="20"/>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AECO Index</w:t>
      </w:r>
      <w:r>
        <w:rPr>
          <w:rFonts w:cs="Arial" w:ascii="Arial" w:hAnsi="Arial"/>
          <w:sz w:val="20"/>
        </w:rPr>
        <w:t xml:space="preserve">” means, for any Month, the price set forth for that specific Delivery Month in the first edition of the </w:t>
      </w:r>
      <w:r>
        <w:rPr>
          <w:rFonts w:cs="Arial" w:ascii="Arial" w:hAnsi="Arial"/>
          <w:i/>
          <w:sz w:val="20"/>
          <w:u w:val="single"/>
        </w:rPr>
        <w:t xml:space="preserve">Canadian Gas Price Reporter </w:t>
      </w:r>
      <w:r>
        <w:rPr>
          <w:rFonts w:cs="Arial" w:ascii="Arial" w:hAnsi="Arial"/>
          <w:sz w:val="20"/>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Affiliate</w:t>
      </w:r>
      <w:r>
        <w:rPr>
          <w:rFonts w:cs="Arial" w:ascii="Arial" w:hAnsi="Arial"/>
          <w:sz w:val="20"/>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Alternate Index</w:t>
      </w:r>
      <w:r>
        <w:rPr>
          <w:rFonts w:cs="Arial" w:ascii="Arial" w:hAnsi="Arial"/>
          <w:sz w:val="20"/>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Btu</w:t>
      </w:r>
      <w:r>
        <w:rPr>
          <w:rFonts w:cs="Arial" w:ascii="Arial" w:hAnsi="Arial"/>
          <w:sz w:val="20"/>
        </w:rPr>
        <w:t>” means the amount of energy required to raise the temperature of one (1) pound of pure water one degree Fahrenheit (1°F) from fifty-nine degrees Fahrenheit (59°F) to sixty degrees Fahrenheit (60°F).  “</w:t>
      </w:r>
      <w:r>
        <w:rPr>
          <w:rFonts w:cs="Arial" w:ascii="Arial" w:hAnsi="Arial"/>
          <w:i/>
          <w:sz w:val="20"/>
          <w:u w:val="single"/>
        </w:rPr>
        <w:t>MMBtu</w:t>
      </w:r>
      <w:r>
        <w:rPr>
          <w:rFonts w:cs="Arial" w:ascii="Arial" w:hAnsi="Arial"/>
          <w:sz w:val="20"/>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Business Day</w:t>
      </w:r>
      <w:r>
        <w:rPr>
          <w:rFonts w:cs="Arial" w:ascii="Arial" w:hAnsi="Arial"/>
          <w:sz w:val="20"/>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Buyer</w:t>
      </w:r>
      <w:r>
        <w:rPr>
          <w:rFonts w:cs="Arial" w:ascii="Arial" w:hAnsi="Arial"/>
          <w:sz w:val="20"/>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Canadian Gas Price Reporter</w:t>
      </w:r>
      <w:r>
        <w:rPr>
          <w:rFonts w:cs="Arial" w:ascii="Arial" w:hAnsi="Arial"/>
          <w:sz w:val="20"/>
        </w:rPr>
        <w:t xml:space="preserve">” means the publication, </w:t>
      </w:r>
      <w:r>
        <w:rPr>
          <w:rFonts w:cs="Arial" w:ascii="Arial" w:hAnsi="Arial"/>
          <w:i/>
          <w:sz w:val="20"/>
          <w:u w:val="single"/>
        </w:rPr>
        <w:t>Canadian Gas Price Reporter</w:t>
      </w:r>
      <w:r>
        <w:rPr>
          <w:rFonts w:cs="Arial" w:ascii="Arial" w:hAnsi="Arial"/>
          <w:sz w:val="20"/>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Claims</w:t>
      </w:r>
      <w:r>
        <w:rPr>
          <w:rFonts w:cs="Arial" w:ascii="Arial" w:hAnsi="Arial"/>
          <w:sz w:val="20"/>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CNRL</w:t>
      </w:r>
      <w:r>
        <w:rPr>
          <w:rFonts w:cs="Arial" w:ascii="Arial" w:hAnsi="Arial"/>
          <w:sz w:val="20"/>
        </w:rPr>
        <w:t>” means Canadian Natural Resources Limited, the General Partner of Customer.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Conditions Precedent</w:t>
      </w:r>
      <w:r>
        <w:rPr>
          <w:rFonts w:cs="Arial" w:ascii="Arial" w:hAnsi="Arial"/>
          <w:sz w:val="20"/>
        </w:rPr>
        <w:t xml:space="preserve">” means the conditions precedent, if any, to a Transaction agreed upon by the Parties.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Confirmation Letter</w:t>
      </w:r>
      <w:r>
        <w:rPr>
          <w:rFonts w:cs="Arial" w:ascii="Arial" w:hAnsi="Arial"/>
          <w:sz w:val="20"/>
        </w:rPr>
        <w:t xml:space="preserve">” means a written notice confirming the specific terms of a Transaction hereunder substantially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Contract Price</w:t>
      </w:r>
      <w:r>
        <w:rPr>
          <w:rFonts w:cs="Arial" w:ascii="Arial" w:hAnsi="Arial"/>
          <w:sz w:val="20"/>
        </w:rPr>
        <w:t>” means the agreed price for the purchase and sale of Gas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Day</w:t>
      </w:r>
      <w:r>
        <w:rPr>
          <w:rFonts w:cs="Arial" w:ascii="Arial" w:hAnsi="Arial"/>
          <w:sz w:val="20"/>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Daily Contract Quantity</w:t>
      </w:r>
      <w:r>
        <w:rPr>
          <w:rFonts w:cs="Arial" w:ascii="Arial" w:hAnsi="Arial"/>
          <w:sz w:val="20"/>
        </w:rPr>
        <w:t xml:space="preserve">” or </w:t>
      </w:r>
      <w:r>
        <w:rPr>
          <w:rFonts w:cs="Arial" w:ascii="Arial" w:hAnsi="Arial"/>
          <w:i/>
          <w:sz w:val="20"/>
          <w:u w:val="single"/>
        </w:rPr>
        <w:t>“DCQ</w:t>
      </w:r>
      <w:r>
        <w:rPr>
          <w:rFonts w:cs="Arial" w:ascii="Arial" w:hAnsi="Arial"/>
          <w:sz w:val="20"/>
        </w:rPr>
        <w:t>” means the quantity of Gas per Day (expressed in volumetric or energy units) that Seller is required to sell and deliver and Buyer is required to purchase and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Delivery Month</w:t>
      </w:r>
      <w:r>
        <w:rPr>
          <w:rFonts w:cs="Arial" w:ascii="Arial" w:hAnsi="Arial"/>
          <w:sz w:val="20"/>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Delivery Point</w:t>
      </w:r>
      <w:r>
        <w:rPr>
          <w:rFonts w:cs="Arial" w:ascii="Arial" w:hAnsi="Arial"/>
          <w:sz w:val="20"/>
        </w:rPr>
        <w:t>” means the agreed point(s) of delivery for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Dollars</w:t>
      </w:r>
      <w:r>
        <w:rPr>
          <w:rFonts w:cs="Arial" w:ascii="Arial" w:hAnsi="Arial"/>
          <w:sz w:val="20"/>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Enron Canada’s Guarantor</w:t>
      </w:r>
      <w:r>
        <w:rPr>
          <w:rFonts w:cs="Arial" w:ascii="Arial" w:hAnsi="Arial"/>
          <w:sz w:val="20"/>
        </w:rPr>
        <w:t>” means Enron Corp. or any replacement permitted in accordance with Section 1 of the Guarantee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Effective Time</w:t>
      </w:r>
      <w:r>
        <w:rPr>
          <w:rFonts w:cs="Arial" w:ascii="Arial" w:hAnsi="Arial"/>
          <w:sz w:val="20"/>
        </w:rPr>
        <w:t xml:space="preserve">” means with respect to each Transaction, the date on which the Parties agreed to such Transaction.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Energy Content</w:t>
      </w:r>
      <w:r>
        <w:rPr>
          <w:rFonts w:cs="Arial" w:ascii="Arial" w:hAnsi="Arial"/>
          <w:sz w:val="20"/>
        </w:rPr>
        <w:t>” means the number of GJ’s per 10</w:t>
      </w:r>
      <w:r>
        <w:rPr>
          <w:rFonts w:cs="Arial" w:ascii="Arial" w:hAnsi="Arial"/>
          <w:sz w:val="20"/>
          <w:vertAlign w:val="superscript"/>
        </w:rPr>
        <w:t>3</w:t>
      </w:r>
      <w:r>
        <w:rPr>
          <w:rFonts w:cs="Arial" w:ascii="Arial" w:hAnsi="Arial"/>
          <w:sz w:val="20"/>
        </w:rPr>
        <w:t>m</w:t>
      </w:r>
      <w:r>
        <w:rPr>
          <w:rFonts w:cs="Arial" w:ascii="Arial" w:hAnsi="Arial"/>
          <w:sz w:val="20"/>
          <w:vertAlign w:val="superscript"/>
        </w:rPr>
        <w:t>3</w:t>
      </w:r>
      <w:r>
        <w:rPr>
          <w:rFonts w:cs="Arial" w:ascii="Arial" w:hAnsi="Arial"/>
          <w:sz w:val="20"/>
        </w:rPr>
        <w:t>, or the number of MMBtu’s per Mcf, determined by using the heat content factor announced for the applicable time by the pipeline company which announces the heat content factor for the applicable Delivery Point.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GAAP</w:t>
      </w:r>
      <w:r>
        <w:rPr>
          <w:rFonts w:cs="Arial" w:ascii="Arial" w:hAnsi="Arial"/>
          <w:sz w:val="20"/>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GST</w:t>
      </w:r>
      <w:r>
        <w:rPr>
          <w:rFonts w:cs="Arial" w:ascii="Arial" w:hAnsi="Arial"/>
          <w:sz w:val="20"/>
        </w:rPr>
        <w:t xml:space="preserve">” means the Goods and Services Tax imposed pursuant to the </w:t>
      </w:r>
      <w:r>
        <w:rPr>
          <w:rFonts w:cs="Arial" w:ascii="Arial" w:hAnsi="Arial"/>
          <w:i/>
          <w:sz w:val="20"/>
          <w:u w:val="single"/>
        </w:rPr>
        <w:t>Excise Tax Act</w:t>
      </w:r>
      <w:r>
        <w:rPr>
          <w:rFonts w:cs="Arial" w:ascii="Arial" w:hAnsi="Arial"/>
          <w:sz w:val="20"/>
        </w:rPr>
        <w:t xml:space="preserve"> (Canada),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Gas</w:t>
      </w:r>
      <w:r>
        <w:rPr>
          <w:rFonts w:cs="Arial" w:ascii="Arial" w:hAnsi="Arial"/>
          <w:sz w:val="20"/>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Gigajoule</w:t>
      </w:r>
      <w:r>
        <w:rPr>
          <w:rFonts w:cs="Arial" w:ascii="Arial" w:hAnsi="Arial"/>
          <w:sz w:val="20"/>
        </w:rPr>
        <w:t>” or “</w:t>
      </w:r>
      <w:r>
        <w:rPr>
          <w:rFonts w:cs="Arial" w:ascii="Arial" w:hAnsi="Arial"/>
          <w:i/>
          <w:sz w:val="20"/>
          <w:u w:val="single"/>
        </w:rPr>
        <w:t>GJ</w:t>
      </w:r>
      <w:r>
        <w:rPr>
          <w:rFonts w:cs="Arial" w:ascii="Arial" w:hAnsi="Arial"/>
          <w:sz w:val="20"/>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Guarantee Agreement</w:t>
      </w:r>
      <w:r>
        <w:rPr>
          <w:rFonts w:cs="Arial" w:ascii="Arial" w:hAnsi="Arial"/>
          <w:sz w:val="20"/>
        </w:rPr>
        <w:t>” means the Confidential Guarantee Agreement between Enron Corp. and Customer in the form attached to the Master Netting and Collateral Agreement, as the same may be amended, restated, supplemented or otherwise modified, from time to time.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Insolvent</w:t>
      </w:r>
      <w:r>
        <w:rPr>
          <w:rFonts w:cs="Arial" w:ascii="Arial" w:hAnsi="Arial"/>
          <w:sz w:val="20"/>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Interest Rate</w:t>
      </w:r>
      <w:r>
        <w:rPr>
          <w:rFonts w:cs="Arial" w:ascii="Arial" w:hAnsi="Arial"/>
          <w:sz w:val="20"/>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Joule</w:t>
      </w:r>
      <w:r>
        <w:rPr>
          <w:rFonts w:cs="Arial" w:ascii="Arial" w:hAnsi="Arial"/>
          <w:sz w:val="20"/>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Load Factor</w:t>
      </w:r>
      <w:r>
        <w:rPr>
          <w:rFonts w:cs="Arial" w:ascii="Arial" w:hAnsi="Arial"/>
          <w:sz w:val="20"/>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MST</w:t>
      </w:r>
      <w:r>
        <w:rPr>
          <w:rFonts w:cs="Arial" w:ascii="Arial" w:hAnsi="Arial"/>
          <w:sz w:val="20"/>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Master Netting and Collateral Agreement</w:t>
      </w:r>
      <w:r>
        <w:rPr>
          <w:rFonts w:cs="Arial" w:ascii="Arial" w:hAnsi="Arial"/>
          <w:sz w:val="20"/>
        </w:rPr>
        <w:t>” means the Master Netting and Collateral Agreement of the same date as this Agreement made and entered into by and between Enron Canada and Customer, as the same may be amended, restated, supplemented or otherwise modified, from time to time.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Heading6"/>
        <w:tabs>
          <w:tab w:val="clear" w:pos="720"/>
          <w:tab w:val="left" w:pos="1170" w:leader="none"/>
        </w:tabs>
        <w:ind w:start="0" w:end="0"/>
        <w:rPr/>
      </w:pPr>
      <w:r>
        <w:rPr>
          <w:rFonts w:cs="Arial" w:ascii="Arial" w:hAnsi="Arial"/>
          <w:color w:val="0000FF"/>
          <w:sz w:val="20"/>
        </w:rPr>
        <w:tab/>
        <w:t>“</w:t>
      </w:r>
      <w:r>
        <w:rPr>
          <w:rFonts w:cs="Arial" w:ascii="Arial" w:hAnsi="Arial"/>
          <w:i/>
          <w:color w:val="0000FF"/>
          <w:sz w:val="20"/>
          <w:u w:val="single"/>
        </w:rPr>
        <w:t>Material Adverse Change</w:t>
      </w:r>
      <w:r>
        <w:rPr>
          <w:rFonts w:cs="Arial" w:ascii="Arial" w:hAnsi="Arial"/>
          <w:color w:val="0000FF"/>
          <w:sz w:val="20"/>
        </w:rPr>
        <w:t>” means a Material Adverse Change under the ISDA Master as referred to in, and amended by the Master Netting and Collateral Agreement.</w:t>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rFonts w:ascii="Arial" w:hAnsi="Arial" w:cs="Arial"/>
          <w:color w:val="0000FF"/>
          <w:sz w:val="20"/>
        </w:rPr>
      </w:pPr>
      <w:r>
        <w:rPr>
          <w:rFonts w:cs="Arial" w:ascii="Arial" w:hAnsi="Arial"/>
          <w:color w:val="0000FF"/>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MaxDQ</w:t>
      </w:r>
      <w:r>
        <w:rPr>
          <w:rFonts w:cs="Arial" w:ascii="Arial" w:hAnsi="Arial"/>
          <w:sz w:val="20"/>
        </w:rPr>
        <w:t xml:space="preserve">” means the maximum quantity of Gas per Day (expressed in volumetric or energy units) that Seller is required to make available and, if nominated by Buyer, to deliver to Buyer pursuant to a Transaction.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MinPQ</w:t>
      </w:r>
      <w:r>
        <w:rPr>
          <w:rFonts w:cs="Arial" w:ascii="Arial" w:hAnsi="Arial"/>
          <w:sz w:val="20"/>
        </w:rPr>
        <w:t xml:space="preserve">”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Month</w:t>
      </w:r>
      <w:r>
        <w:rPr>
          <w:rFonts w:cs="Arial" w:ascii="Arial" w:hAnsi="Arial"/>
          <w:sz w:val="20"/>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New Taxes</w:t>
      </w:r>
      <w:r>
        <w:rPr>
          <w:rFonts w:cs="Arial" w:ascii="Arial" w:hAnsi="Arial"/>
          <w:sz w:val="20"/>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NIT</w:t>
      </w:r>
      <w:r>
        <w:rPr>
          <w:rFonts w:cs="Arial" w:ascii="Arial" w:hAnsi="Arial"/>
          <w:sz w:val="20"/>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NOVA</w:t>
      </w:r>
      <w:r>
        <w:rPr>
          <w:rFonts w:cs="Arial" w:ascii="Arial" w:hAnsi="Arial"/>
          <w:sz w:val="20"/>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NYMEX</w:t>
      </w:r>
      <w:r>
        <w:rPr>
          <w:rFonts w:cs="Arial" w:ascii="Arial" w:hAnsi="Arial"/>
          <w:sz w:val="20"/>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NYMEX Contract</w:t>
      </w:r>
      <w:r>
        <w:rPr>
          <w:rFonts w:cs="Arial" w:ascii="Arial" w:hAnsi="Arial"/>
          <w:sz w:val="20"/>
        </w:rPr>
        <w:t>” means for the applicable Delivery Month, the NYMEX Henry Hub natural gas futures contract, or such other NYMEX natural gas futures contract as may be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Period of Delivery</w:t>
      </w:r>
      <w:r>
        <w:rPr>
          <w:rFonts w:cs="Arial" w:ascii="Arial" w:hAnsi="Arial"/>
          <w:sz w:val="20"/>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Pipeline</w:t>
      </w:r>
      <w:r>
        <w:rPr>
          <w:rFonts w:cs="Arial" w:ascii="Arial" w:hAnsi="Arial"/>
          <w:sz w:val="20"/>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person</w:t>
      </w:r>
      <w:r>
        <w:rPr>
          <w:rFonts w:cs="Arial" w:ascii="Arial" w:hAnsi="Arial"/>
          <w:sz w:val="20"/>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Present Value Discount Rate</w:t>
      </w:r>
      <w:r>
        <w:rPr>
          <w:rFonts w:cs="Arial" w:ascii="Arial" w:hAnsi="Arial"/>
          <w:sz w:val="20"/>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Price Index</w:t>
      </w:r>
      <w:r>
        <w:rPr>
          <w:rFonts w:cs="Arial" w:ascii="Arial" w:hAnsi="Arial"/>
          <w:sz w:val="20"/>
        </w:rPr>
        <w:t>” means any of the AECO Day Price, AECO Index, or any price index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Prime Rate</w:t>
      </w:r>
      <w:r>
        <w:rPr>
          <w:rFonts w:cs="Arial" w:ascii="Arial" w:hAnsi="Arial"/>
          <w:sz w:val="20"/>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Prior Master Firm Gas Purchase/Sale Agreement</w:t>
      </w:r>
      <w:r>
        <w:rPr>
          <w:rFonts w:cs="Arial" w:ascii="Arial" w:hAnsi="Arial"/>
          <w:sz w:val="20"/>
        </w:rPr>
        <w:t>” means the Master Firm Gas Purchase/Sale Agreement made effective the 26</w:t>
      </w:r>
      <w:r>
        <w:rPr>
          <w:rFonts w:cs="Arial" w:ascii="Arial" w:hAnsi="Arial"/>
          <w:sz w:val="20"/>
          <w:vertAlign w:val="superscript"/>
        </w:rPr>
        <w:t>th</w:t>
      </w:r>
      <w:r>
        <w:rPr>
          <w:rFonts w:cs="Arial" w:ascii="Arial" w:hAnsi="Arial"/>
          <w:sz w:val="20"/>
        </w:rPr>
        <w:t xml:space="preserve"> day of August, 1993, between Enron Gas Marketing Canada Inc. (predecessor by name change to Enron Capital &amp; Trade Resources Canada Corp., predecessor by name change to Enron Canada) and Canadian Natural Resources, Ltd. (predecessor in interest to Customer), as amended by: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numPr>
          <w:ilvl w:val="0"/>
          <w:numId w:val="2"/>
        </w:numPr>
        <w:tabs>
          <w:tab w:val="clear" w:pos="720"/>
          <w:tab w:val="left" w:pos="1620" w:leader="none"/>
          <w:tab w:val="left" w:pos="2880" w:leader="none"/>
          <w:tab w:val="left" w:pos="3744" w:leader="none"/>
          <w:tab w:val="left" w:pos="5760" w:leader="none"/>
        </w:tabs>
        <w:ind w:hanging="360" w:start="1440" w:end="0"/>
        <w:jc w:val="both"/>
        <w:rPr>
          <w:rFonts w:ascii="Arial" w:hAnsi="Arial" w:cs="Arial"/>
          <w:sz w:val="20"/>
        </w:rPr>
      </w:pPr>
      <w:r>
        <w:rPr>
          <w:rFonts w:cs="Arial" w:ascii="Arial" w:hAnsi="Arial"/>
          <w:sz w:val="20"/>
        </w:rPr>
        <w:t>letter agreement dated August 11, 1995, between Enron Canada and Customer;</w:t>
      </w:r>
    </w:p>
    <w:p>
      <w:pPr>
        <w:pStyle w:val="Normal"/>
        <w:numPr>
          <w:ilvl w:val="0"/>
          <w:numId w:val="2"/>
        </w:numPr>
        <w:tabs>
          <w:tab w:val="clear" w:pos="720"/>
          <w:tab w:val="left" w:pos="1620" w:leader="none"/>
          <w:tab w:val="left" w:pos="2880" w:leader="none"/>
          <w:tab w:val="left" w:pos="3744" w:leader="none"/>
          <w:tab w:val="left" w:pos="5760" w:leader="none"/>
        </w:tabs>
        <w:ind w:hanging="360" w:start="1440" w:end="0"/>
        <w:jc w:val="both"/>
        <w:rPr>
          <w:rFonts w:ascii="Arial" w:hAnsi="Arial" w:cs="Arial"/>
          <w:sz w:val="20"/>
        </w:rPr>
      </w:pPr>
      <w:r>
        <w:rPr>
          <w:rFonts w:cs="Arial" w:ascii="Arial" w:hAnsi="Arial"/>
          <w:sz w:val="20"/>
        </w:rPr>
        <w:t>letter agreement dated March 29, 1996, between Enron Canada and Customer; and</w:t>
      </w:r>
    </w:p>
    <w:p>
      <w:pPr>
        <w:pStyle w:val="Normal"/>
        <w:numPr>
          <w:ilvl w:val="0"/>
          <w:numId w:val="2"/>
        </w:numPr>
        <w:tabs>
          <w:tab w:val="clear" w:pos="720"/>
          <w:tab w:val="left" w:pos="1620" w:leader="none"/>
          <w:tab w:val="left" w:pos="2880" w:leader="none"/>
          <w:tab w:val="left" w:pos="3744" w:leader="none"/>
          <w:tab w:val="left" w:pos="5760" w:leader="none"/>
        </w:tabs>
        <w:ind w:hanging="360" w:start="1440" w:end="0"/>
        <w:jc w:val="both"/>
        <w:rPr>
          <w:rFonts w:ascii="Arial" w:hAnsi="Arial" w:cs="Arial"/>
          <w:sz w:val="20"/>
        </w:rPr>
      </w:pPr>
      <w:r>
        <w:rPr>
          <w:rFonts w:cs="Arial" w:ascii="Arial" w:hAnsi="Arial"/>
          <w:sz w:val="20"/>
        </w:rPr>
        <w:t>letter agreement dated November 28, 1996, between Enron Canada and Customer.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Reference Market Makers</w:t>
      </w:r>
      <w:r>
        <w:rPr>
          <w:rFonts w:cs="Arial" w:ascii="Arial" w:hAnsi="Arial"/>
          <w:sz w:val="20"/>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Replacement Price Differential</w:t>
      </w:r>
      <w:r>
        <w:rPr>
          <w:rFonts w:cs="Arial" w:ascii="Arial" w:hAnsi="Arial"/>
          <w:sz w:val="20"/>
        </w:rPr>
        <w:t>” means (a) in the event of a Seller's Deficiency Default (defined in Section 6.2), the positive difference, if any, obtained by subtracting the Contract Price from (i) if the Delivery Point is AECO “C” or NOVA Inventory Transfer, the AECO Day Price for the Day on which the Seller's Deficiency Default occurred; or (ii)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(b) in the event of a Buyer's Deficiency Default (defined in Section 6.4), the positive difference, if any, obtained by subtracting from the Contract Price, (i) if the Delivery Point is AECO “C” or NOVA Inventory Transfer and if a DCQ is applicable, the AECO Day Price for the Day on which Buyer's Deficiency Default occurred, or if a MinPQ is applicable, the AECO Index for the Month in which Buyer’s Deficiency Default occurred; or (ii)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Seller</w:t>
      </w:r>
      <w:r>
        <w:rPr>
          <w:rFonts w:cs="Arial" w:ascii="Arial" w:hAnsi="Arial"/>
          <w:sz w:val="20"/>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Set-off</w:t>
      </w:r>
      <w:r>
        <w:rPr>
          <w:rFonts w:cs="Arial" w:ascii="Arial" w:hAnsi="Arial"/>
          <w:sz w:val="20"/>
        </w:rPr>
        <w:t>” means any set-off, offset, combination of accounts, right of set-off, offset, combination of accounts, retention or withholding, or similar right or requirement, to which the payer of an amount is entitled or subject (whether arising under the Master Netting and Collateral Agreement,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Taxes</w:t>
      </w:r>
      <w:r>
        <w:rPr>
          <w:rFonts w:cs="Arial" w:ascii="Arial" w:hAnsi="Arial"/>
          <w:sz w:val="20"/>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Transaction</w:t>
      </w:r>
      <w:r>
        <w:rPr>
          <w:rFonts w:cs="Arial" w:ascii="Arial" w:hAnsi="Arial"/>
          <w:sz w:val="20"/>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Transporter</w:t>
      </w:r>
      <w:r>
        <w:rPr>
          <w:rFonts w:cs="Arial" w:ascii="Arial" w:hAnsi="Arial"/>
          <w:sz w:val="20"/>
        </w:rPr>
        <w:t>” means either the Pipeline delivering Gas to the Delivery Point or receiving Gas at the Delivery Point in any Transaction.</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w:t>
      </w:r>
      <w:r>
        <w:rPr>
          <w:sz w:val="20"/>
          <w:rFonts w:cs="Arial" w:ascii="Arial" w:hAnsi="Arial"/>
        </w:rPr>
        <w:fldChar w:fldCharType="end"/>
      </w:r>
      <w:r>
        <w:rPr>
          <w:rFonts w:cs="Arial" w:ascii="Arial" w:hAnsi="Arial"/>
          <w:sz w:val="20"/>
        </w:rPr>
        <w:br/>
        <w:t>TERM</w:t>
      </w:r>
    </w:p>
    <w:p>
      <w:pPr>
        <w:pStyle w:val="Heading2"/>
        <w:rPr/>
      </w:pPr>
      <w:r>
        <w:rPr>
          <w:rFonts w:cs="Arial" w:ascii="Arial" w:hAnsi="Arial"/>
          <w:sz w:val="20"/>
          <w:u w:val="single"/>
        </w:rPr>
        <w:t>Term</w:t>
      </w:r>
      <w:r>
        <w:rPr>
          <w:rFonts w:cs="Arial" w:ascii="Arial" w:hAnsi="Arial"/>
          <w:sz w:val="20"/>
        </w:rPr>
        <w:t>.  Subject to Section 17.15, this Agreement shall govern all Transactions and shall be in effect effective as of the Effective Date, and shall continue unless terminated by either Party upon thirty (30) Days' prior written notice to the other Party; provided however, that, the provisions hereof shall continue to apply to all Trans</w:t>
        <w:softHyphen/>
        <w:t xml:space="preserve">actions entered into between Customer and Enron Canada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w:t>
      </w:r>
      <w:r>
        <w:rPr>
          <w:sz w:val="20"/>
          <w:rFonts w:cs="Arial" w:ascii="Arial" w:hAnsi="Arial"/>
        </w:rPr>
        <w:fldChar w:fldCharType="end"/>
      </w:r>
      <w:r>
        <w:rPr>
          <w:rFonts w:cs="Arial" w:ascii="Arial" w:hAnsi="Arial"/>
          <w:sz w:val="20"/>
        </w:rPr>
        <w:br/>
        <w:t>REPRESENTATIONS AND WARRANTIES</w:t>
      </w:r>
    </w:p>
    <w:p>
      <w:pPr>
        <w:pStyle w:val="Heading6"/>
        <w:ind w:start="0" w:end="0"/>
        <w:rPr/>
      </w:pPr>
      <w:r>
        <w:rPr>
          <w:rFonts w:cs="Arial" w:ascii="Arial" w:hAnsi="Arial"/>
          <w:sz w:val="20"/>
        </w:rPr>
        <w:tab/>
        <w:t>3.1.</w:t>
        <w:tab/>
      </w:r>
      <w:r>
        <w:rPr>
          <w:rFonts w:cs="Arial" w:ascii="Arial" w:hAnsi="Arial"/>
          <w:sz w:val="20"/>
          <w:u w:val="single"/>
        </w:rPr>
        <w:t>Representations</w:t>
      </w:r>
      <w:r>
        <w:rPr>
          <w:rFonts w:cs="Arial" w:ascii="Arial" w:hAnsi="Arial"/>
          <w:sz w:val="20"/>
        </w:rPr>
        <w:t xml:space="preserve">.  As a material inducement to entering into this Agreement, including each Transaction, each Party, with respect to itself, hereby represents and warrants to the other Party, effective as of the Effective Date and continuing throughout the term of this Agreement, and on the date that each Transaction is entered into, as follows: (a) there are no suits, proceedings, judgments or orders by or before any court or any governmental authority that materially adversely affect its ability to perform this Agreement or the rights of the other Party under this Agreement and the Master Netting and Collateral Agreement; (b) it is duly organized and validly existing, and it has the legal right, power, authority and qualifications, and has obtained all necessary consents and regulatory authorizations, for it to conduct its business, to execute and deliver this Agreement and the Master Netting and Collateral Agreement and to perform its obligations hereunder, thereunder and under each Transaction; (c) (i) each Transaction constitutes a “commodity contract” or an “OTC derivative” or such other similar term as defined pursuant to the securities legislation in force in Alberta or British Columbia or pursuant to the securities legislation of any other jurisdictions having application to the Transaction, and (ii) it is a “Qualified Party” within the meaning of paragraph 9.1 of Alberta Securities Commission Order Doc.#394043 and paragraph 1.1 of the draft British Columbia Securities Commission Blanket Order BOR#91-501, in either case, as amended, restated, replaced or re-enacted from time to time, and pursuant to any equivalent order or other enactment made pursuant to the securities laws of Alberta, British Columbia or any other jurisdictions having application to the Transaction; (d) the making and performance of this Agreement and the Master Netting and Collateral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(e) this Agreement and the Master Netting and Collateral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(f) there are no bankruptcy, insolvency, reorganization, receivership or other arrangement proceedings pending, or being contemplated by it or, to its knowledge, threatened against it.  </w:t>
      </w:r>
    </w:p>
    <w:p>
      <w:pPr>
        <w:pStyle w:val="Heading6"/>
        <w:ind w:firstLine="720" w:start="0" w:end="0"/>
        <w:rPr/>
      </w:pPr>
      <w:r>
        <w:rPr>
          <w:rFonts w:cs="Arial" w:ascii="Arial" w:hAnsi="Arial"/>
          <w:sz w:val="20"/>
        </w:rPr>
        <w:t>3.2.</w:t>
        <w:tab/>
      </w:r>
      <w:r>
        <w:rPr>
          <w:rFonts w:cs="Arial" w:ascii="Arial" w:hAnsi="Arial"/>
          <w:sz w:val="20"/>
          <w:u w:val="single"/>
        </w:rPr>
        <w:t>Governance and Ownership of Customer</w:t>
      </w:r>
      <w:r>
        <w:rPr>
          <w:rFonts w:cs="Arial" w:ascii="Arial" w:hAnsi="Arial"/>
          <w:sz w:val="20"/>
        </w:rPr>
        <w:t>.  Without restriction to the foregoing, Customer represents and warrants to Enron Canada as a material inducement to entering into this Agreement and continuing throughout the terms of this Agreement, and on the date that each Transaction is entered into, as follows: (a) it is a general partnership under the laws of the Province of Alberta, and (b) its General Partner is CNRL.</w:t>
      </w:r>
    </w:p>
    <w:p>
      <w:pPr>
        <w:pStyle w:val="Heading2"/>
        <w:rPr/>
      </w:pPr>
      <w:r>
        <w:rPr>
          <w:rFonts w:cs="Arial" w:ascii="Arial" w:hAnsi="Arial"/>
          <w:sz w:val="20"/>
        </w:rPr>
        <w:t>3.3.</w:t>
        <w:tab/>
      </w:r>
      <w:r>
        <w:rPr>
          <w:rFonts w:cs="Arial" w:ascii="Arial" w:hAnsi="Arial"/>
          <w:sz w:val="20"/>
          <w:u w:val="single"/>
        </w:rPr>
        <w:t>Warranty</w:t>
      </w:r>
      <w:r>
        <w:rPr>
          <w:rFonts w:cs="Arial" w:ascii="Arial" w:hAnsi="Arial"/>
          <w:sz w:val="20"/>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rFonts w:cs="Arial" w:ascii="Arial" w:hAnsi="Arial"/>
          <w:sz w:val="20"/>
        </w:rPr>
        <w:t>3.4.</w:t>
        <w:tab/>
      </w:r>
      <w:r>
        <w:rPr>
          <w:rFonts w:cs="Arial" w:ascii="Arial" w:hAnsi="Arial"/>
          <w:sz w:val="20"/>
          <w:u w:val="single"/>
        </w:rPr>
        <w:t>Financial Information</w:t>
      </w:r>
      <w:r>
        <w:rPr>
          <w:rFonts w:cs="Arial" w:ascii="Arial" w:hAnsi="Arial"/>
          <w:sz w:val="20"/>
        </w:rPr>
        <w:t xml:space="preserve">.  </w:t>
      </w:r>
    </w:p>
    <w:p>
      <w:pPr>
        <w:pStyle w:val="Heading2"/>
        <w:rPr>
          <w:rFonts w:ascii="Arial" w:hAnsi="Arial" w:cs="Arial"/>
          <w:sz w:val="20"/>
        </w:rPr>
      </w:pPr>
      <w:r>
        <w:rPr>
          <w:rFonts w:cs="Arial" w:ascii="Arial" w:hAnsi="Arial"/>
          <w:sz w:val="20"/>
        </w:rPr>
        <w:t>(a)</w:t>
        <w:tab/>
        <w:t>If requested by Enron Canada, Customer shall deliver within one hundred and fifty (150) Days following the end of each fiscal year of Customer, a copy of Customer’s and CNRL’s annual report, containing financial statements for such fiscal year certified by independent chartered or certified public accountants, and within sixty (60) Days after the end of each of the first three (3) fiscal quarters of each fiscal year of Customer, a copy of Customer’s and CNRL’s quarterly report, containing unaudited financial statements for such fiscal quarter, and in each case such report shall be prepared in accordance with GAAP.</w:t>
      </w:r>
    </w:p>
    <w:p>
      <w:pPr>
        <w:pStyle w:val="Heading2"/>
        <w:rPr>
          <w:rFonts w:ascii="Arial" w:hAnsi="Arial" w:cs="Arial"/>
          <w:sz w:val="20"/>
        </w:rPr>
      </w:pPr>
      <w:r>
        <w:rPr>
          <w:rFonts w:cs="Arial" w:ascii="Arial" w:hAnsi="Arial"/>
          <w:sz w:val="20"/>
        </w:rPr>
        <w:t>(b)</w:t>
        <w:tab/>
        <w:t>If requested by Customer, Enron Canada shall deliver within one hundred and fifty (150) Days following the end of each fiscal year of Enron Canada’s Guarantor, a copy of Enron Canada’s Guarantor’s annual report, containing financial statements for such fiscal year certified by independent certified public accountants, and within sixty (60) Days after the end of each of the first three (3) fiscal quarters of each fiscal year of Enron Canada’s Guarantor, a copy of Enron Canada’s Guarantor’s quarterly report, containing unaudited financial statements for such fiscal quarter, and in each case such report shall be prepared in accordance with GAAP.</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w:t>
      </w:r>
      <w:r>
        <w:rPr>
          <w:sz w:val="20"/>
          <w:rFonts w:cs="Arial" w:ascii="Arial" w:hAnsi="Arial"/>
        </w:rPr>
        <w:fldChar w:fldCharType="end"/>
      </w:r>
      <w:r>
        <w:rPr>
          <w:rFonts w:cs="Arial" w:ascii="Arial" w:hAnsi="Arial"/>
          <w:sz w:val="20"/>
        </w:rPr>
        <w:br/>
        <w:t>SCOPE OF AGREEMENT</w:t>
      </w:r>
    </w:p>
    <w:p>
      <w:pPr>
        <w:pStyle w:val="Heading2"/>
        <w:rPr/>
      </w:pPr>
      <w:r>
        <w:rPr>
          <w:rFonts w:cs="Arial" w:ascii="Arial" w:hAnsi="Arial"/>
          <w:sz w:val="20"/>
          <w:u w:val="single"/>
        </w:rPr>
        <w:t>Scope of Agreement</w:t>
      </w:r>
      <w:r>
        <w:rPr>
          <w:rFonts w:cs="Arial" w:ascii="Arial" w:hAnsi="Arial"/>
          <w:sz w:val="20"/>
        </w:rPr>
        <w:t>.  Customer and Enron Canada may enter into Transactions for the firm sale and delivery and purchase and receipt of Gas at the Delivery Point(s). Each Transaction may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w:t>
      </w:r>
      <w:r>
        <w:rPr>
          <w:sz w:val="20"/>
          <w:rFonts w:cs="Arial" w:ascii="Arial" w:hAnsi="Arial"/>
        </w:rPr>
        <w:fldChar w:fldCharType="end"/>
      </w:r>
      <w:r>
        <w:rPr>
          <w:rFonts w:cs="Arial" w:ascii="Arial" w:hAnsi="Arial"/>
          <w:sz w:val="20"/>
        </w:rPr>
        <w:br/>
        <w:t>TRANSACTIONS</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7</w:t>
      </w:r>
      <w:r>
        <w:rPr>
          <w:sz w:val="20"/>
          <w:rFonts w:cs="Arial" w:ascii="Arial" w:hAnsi="Arial"/>
        </w:rPr>
        <w:fldChar w:fldCharType="end"/>
      </w:r>
      <w:r>
        <w:rPr>
          <w:rFonts w:cs="Arial" w:ascii="Arial" w:hAnsi="Arial"/>
          <w:sz w:val="20"/>
        </w:rPr>
        <w:tab/>
      </w:r>
      <w:r>
        <w:rPr>
          <w:rFonts w:cs="Arial" w:ascii="Arial" w:hAnsi="Arial"/>
          <w:sz w:val="20"/>
          <w:u w:val="single"/>
        </w:rPr>
        <w:t>Transaction Procedure</w:t>
      </w:r>
      <w:r>
        <w:rPr>
          <w:rFonts w:cs="Arial" w:ascii="Arial" w:hAnsi="Arial"/>
          <w:sz w:val="20"/>
        </w:rPr>
        <w:t xml:space="preserve">.  When, from time to time, Customer and Enron Canada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8</w:t>
      </w:r>
      <w:r>
        <w:rPr>
          <w:sz w:val="20"/>
          <w:rFonts w:cs="Arial" w:ascii="Arial" w:hAnsi="Arial"/>
        </w:rPr>
        <w:fldChar w:fldCharType="end"/>
      </w:r>
      <w:r>
        <w:rPr>
          <w:rFonts w:cs="Arial" w:ascii="Arial" w:hAnsi="Arial"/>
          <w:sz w:val="20"/>
        </w:rPr>
        <w:tab/>
      </w:r>
      <w:r>
        <w:rPr>
          <w:rFonts w:cs="Arial" w:ascii="Arial" w:hAnsi="Arial"/>
          <w:sz w:val="20"/>
          <w:u w:val="single"/>
        </w:rPr>
        <w:t>Confirmation Letter Procedure</w:t>
      </w:r>
      <w:r>
        <w:rPr>
          <w:rFonts w:cs="Arial" w:ascii="Arial" w:hAnsi="Arial"/>
          <w:sz w:val="20"/>
        </w:rPr>
        <w:t xml:space="preserve">.  Enron Canada may confirm a Transaction by sending a Confirmation Letter to Customer.  In such instances, after the Parties have verbally agreed to all terms of a Transaction, Enron Canada may send to Customer by facsimile or other mutually acceptable means a Confirmation Letter documenting the agreed Transaction.  Customer will, after receipt of a Confirmation Letter if sent,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Enron Canada, and thereafter the Parties shall in good faith resolve the discrepancy.  If Customer provides no notice of inaccuracy within such three (3) Business Days, the Confirmation Letter shall be deemed to accurately state the terms of the Transaction.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9</w:t>
      </w:r>
      <w:r>
        <w:rPr>
          <w:sz w:val="20"/>
          <w:rFonts w:cs="Arial" w:ascii="Arial" w:hAnsi="Arial"/>
        </w:rPr>
        <w:fldChar w:fldCharType="end"/>
      </w:r>
      <w:r>
        <w:rPr>
          <w:rFonts w:cs="Arial" w:ascii="Arial" w:hAnsi="Arial"/>
          <w:sz w:val="20"/>
        </w:rPr>
        <w:tab/>
      </w:r>
      <w:r>
        <w:rPr>
          <w:rFonts w:cs="Arial" w:ascii="Arial" w:hAnsi="Arial"/>
          <w:sz w:val="20"/>
          <w:u w:val="single"/>
        </w:rPr>
        <w:t>Electronic Taping</w:t>
      </w:r>
      <w:r>
        <w:rPr>
          <w:rFonts w:cs="Arial" w:ascii="Arial" w:hAnsi="Arial"/>
          <w:sz w:val="20"/>
        </w:rPr>
        <w:t>.  Each Party consents to the electronic taping by the other Party of all conversations, instructions or agreements, including Transactions hereunder, and each Party agrees that any such tape will constitute documentary evidence as to any such conversations, instructions or agreements in tangible form.  Customer and Enron Canada agree not to assert any legal defense as to the validity or enforceability of any conversations, verbal instructions or agreements evidenced by any such tape,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10</w:t>
      </w:r>
      <w:r>
        <w:rPr>
          <w:sz w:val="20"/>
          <w:rFonts w:cs="Arial" w:ascii="Arial" w:hAnsi="Arial"/>
        </w:rPr>
        <w:fldChar w:fldCharType="end"/>
      </w:r>
      <w:r>
        <w:rPr>
          <w:rFonts w:cs="Arial" w:ascii="Arial" w:hAnsi="Arial"/>
          <w:sz w:val="20"/>
        </w:rPr>
        <w:br/>
        <w:t>QUANTITY OBLIGATIONS</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11</w:t>
      </w:r>
      <w:r>
        <w:rPr>
          <w:sz w:val="20"/>
          <w:rFonts w:cs="Arial" w:ascii="Arial" w:hAnsi="Arial"/>
        </w:rPr>
        <w:fldChar w:fldCharType="end"/>
      </w:r>
      <w:r>
        <w:rPr>
          <w:rFonts w:cs="Arial" w:ascii="Arial" w:hAnsi="Arial"/>
          <w:sz w:val="20"/>
        </w:rPr>
        <w:tab/>
      </w:r>
      <w:r>
        <w:rPr>
          <w:rFonts w:cs="Arial" w:ascii="Arial" w:hAnsi="Arial"/>
          <w:sz w:val="20"/>
          <w:u w:val="single"/>
        </w:rPr>
        <w:t>Seller's Sales Obligation</w:t>
      </w:r>
      <w:r>
        <w:rPr>
          <w:rFonts w:cs="Arial" w:ascii="Arial" w:hAnsi="Arial"/>
          <w:sz w:val="20"/>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12</w:t>
      </w:r>
      <w:r>
        <w:rPr>
          <w:sz w:val="20"/>
          <w:rFonts w:cs="Arial" w:ascii="Arial" w:hAnsi="Arial"/>
        </w:rPr>
        <w:fldChar w:fldCharType="end"/>
      </w:r>
      <w:r>
        <w:rPr>
          <w:rFonts w:cs="Arial" w:ascii="Arial" w:hAnsi="Arial"/>
          <w:sz w:val="20"/>
        </w:rPr>
        <w:tab/>
      </w:r>
      <w:r>
        <w:rPr>
          <w:rFonts w:cs="Arial" w:ascii="Arial" w:hAnsi="Arial"/>
          <w:sz w:val="20"/>
          <w:u w:val="single"/>
        </w:rPr>
        <w:t>Seller's Failure to Deliver</w:t>
      </w:r>
      <w:r>
        <w:rPr>
          <w:rFonts w:cs="Arial" w:ascii="Arial" w:hAnsi="Arial"/>
          <w:sz w:val="20"/>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(a) an amount equal to the product of the Energy Content of Seller's Deficiency Quantity multiplied by the Replacement Price Differential; plus (b) an amount as liquidated damages equal to $0.15 multiplied by the Energy Content of the Seller's Deficiency Quantity to cover Buyer's administrative and operational costs; plus (c) all pipeline penalties incurred by Buyer as a result of the Seller’s Deficiency Default.</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13</w:t>
      </w:r>
      <w:r>
        <w:rPr>
          <w:sz w:val="20"/>
          <w:rFonts w:cs="Arial" w:ascii="Arial" w:hAnsi="Arial"/>
        </w:rPr>
        <w:fldChar w:fldCharType="end"/>
      </w:r>
      <w:r>
        <w:rPr>
          <w:rFonts w:cs="Arial" w:ascii="Arial" w:hAnsi="Arial"/>
          <w:sz w:val="20"/>
        </w:rPr>
        <w:tab/>
      </w:r>
      <w:r>
        <w:rPr>
          <w:rFonts w:cs="Arial" w:ascii="Arial" w:hAnsi="Arial"/>
          <w:sz w:val="20"/>
          <w:u w:val="single"/>
        </w:rPr>
        <w:t>Buyer's Purchase Obligation</w:t>
      </w:r>
      <w:r>
        <w:rPr>
          <w:rFonts w:cs="Arial" w:ascii="Arial" w:hAnsi="Arial"/>
          <w:sz w:val="20"/>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14</w:t>
      </w:r>
      <w:r>
        <w:rPr>
          <w:sz w:val="20"/>
          <w:rFonts w:cs="Arial" w:ascii="Arial" w:hAnsi="Arial"/>
        </w:rPr>
        <w:fldChar w:fldCharType="end"/>
      </w:r>
      <w:r>
        <w:rPr>
          <w:rFonts w:cs="Arial" w:ascii="Arial" w:hAnsi="Arial"/>
          <w:sz w:val="20"/>
        </w:rPr>
        <w:tab/>
      </w:r>
      <w:r>
        <w:rPr>
          <w:rFonts w:cs="Arial" w:ascii="Arial" w:hAnsi="Arial"/>
          <w:sz w:val="20"/>
          <w:u w:val="single"/>
        </w:rPr>
        <w:t>Buyer's Failure to Receive</w:t>
      </w:r>
      <w:r>
        <w:rPr>
          <w:rFonts w:cs="Arial" w:ascii="Arial" w:hAnsi="Arial"/>
          <w:sz w:val="20"/>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(a) an amount equal to the product of the Energy Content of Buyer's Deficiency Quantity multiplied by the Replacement Price Differential; plus (b) an amount as liquidated damages equal to $0.15 multiplied by the Energy Content of the Buyer's Deficiency Quantity to cover Seller's administra</w:t>
        <w:softHyphen/>
        <w:t>tive and operational costs; plus (c) all pipeline penalties incurred by Seller as a result of the Buyer’s Deficiency Default.</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15</w:t>
      </w:r>
      <w:r>
        <w:rPr>
          <w:sz w:val="20"/>
          <w:rFonts w:cs="Arial" w:ascii="Arial" w:hAnsi="Arial"/>
        </w:rPr>
        <w:fldChar w:fldCharType="end"/>
      </w:r>
      <w:r>
        <w:rPr>
          <w:rFonts w:cs="Arial" w:ascii="Arial" w:hAnsi="Arial"/>
          <w:sz w:val="20"/>
        </w:rPr>
        <w:tab/>
      </w:r>
      <w:r>
        <w:rPr>
          <w:rFonts w:cs="Arial" w:ascii="Arial" w:hAnsi="Arial"/>
          <w:sz w:val="20"/>
          <w:u w:val="single"/>
        </w:rPr>
        <w:t>Redetermination of a Price Index</w:t>
      </w:r>
      <w:r>
        <w:rPr>
          <w:rFonts w:cs="Arial" w:ascii="Arial" w:hAnsi="Arial"/>
          <w:sz w:val="20"/>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16</w:t>
      </w:r>
      <w:r>
        <w:rPr>
          <w:sz w:val="20"/>
          <w:rFonts w:cs="Arial" w:ascii="Arial" w:hAnsi="Arial"/>
        </w:rPr>
        <w:fldChar w:fldCharType="end"/>
      </w:r>
      <w:r>
        <w:rPr>
          <w:rFonts w:cs="Arial" w:ascii="Arial" w:hAnsi="Arial"/>
          <w:sz w:val="20"/>
        </w:rPr>
        <w:br/>
        <w:t>OPERATIONS AND DELIVERY</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17</w:t>
      </w:r>
      <w:r>
        <w:rPr>
          <w:sz w:val="20"/>
          <w:rFonts w:cs="Arial" w:ascii="Arial" w:hAnsi="Arial"/>
        </w:rPr>
        <w:fldChar w:fldCharType="end"/>
      </w:r>
      <w:r>
        <w:rPr>
          <w:rFonts w:cs="Arial" w:ascii="Arial" w:hAnsi="Arial"/>
          <w:sz w:val="20"/>
        </w:rPr>
        <w:tab/>
      </w:r>
      <w:r>
        <w:rPr>
          <w:rFonts w:cs="Arial" w:ascii="Arial" w:hAnsi="Arial"/>
          <w:sz w:val="20"/>
          <w:u w:val="single"/>
        </w:rPr>
        <w:t>Buyer's Nominations to Seller</w:t>
      </w:r>
      <w:r>
        <w:rPr>
          <w:rFonts w:cs="Arial" w:ascii="Arial" w:hAnsi="Arial"/>
          <w:sz w:val="20"/>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18</w:t>
      </w:r>
      <w:r>
        <w:rPr>
          <w:sz w:val="20"/>
          <w:rFonts w:cs="Arial" w:ascii="Arial" w:hAnsi="Arial"/>
        </w:rPr>
        <w:fldChar w:fldCharType="end"/>
      </w:r>
      <w:r>
        <w:rPr>
          <w:rFonts w:cs="Arial" w:ascii="Arial" w:hAnsi="Arial"/>
          <w:sz w:val="20"/>
        </w:rPr>
        <w:tab/>
      </w:r>
      <w:r>
        <w:rPr>
          <w:rFonts w:cs="Arial" w:ascii="Arial" w:hAnsi="Arial"/>
          <w:sz w:val="20"/>
          <w:u w:val="single"/>
        </w:rPr>
        <w:t>Transportation</w:t>
      </w:r>
      <w:r>
        <w:rPr>
          <w:rFonts w:cs="Arial" w:ascii="Arial" w:hAnsi="Arial"/>
          <w:sz w:val="20"/>
        </w:rPr>
        <w:t>.  Seller shall arrange and pay for transportation to the Delivery Point, and Buyer shall arrange and pay for transporta</w:t>
        <w:softHyphen/>
        <w:t xml:space="preserve">tion from the Delivery Point.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19</w:t>
      </w:r>
      <w:r>
        <w:rPr>
          <w:sz w:val="20"/>
          <w:rFonts w:cs="Arial" w:ascii="Arial" w:hAnsi="Arial"/>
        </w:rPr>
        <w:fldChar w:fldCharType="end"/>
      </w:r>
      <w:r>
        <w:rPr>
          <w:rFonts w:cs="Arial" w:ascii="Arial" w:hAnsi="Arial"/>
          <w:sz w:val="20"/>
        </w:rPr>
        <w:tab/>
      </w:r>
      <w:r>
        <w:rPr>
          <w:rFonts w:cs="Arial" w:ascii="Arial" w:hAnsi="Arial"/>
          <w:sz w:val="20"/>
          <w:u w:val="single"/>
        </w:rPr>
        <w:t>Gas Quality, Temperature and Pressure</w:t>
      </w:r>
      <w:r>
        <w:rPr>
          <w:rFonts w:cs="Arial" w:ascii="Arial" w:hAnsi="Arial"/>
          <w:sz w:val="20"/>
        </w:rPr>
        <w:t>.  All Gas to be delivered hereunder shall meet or exceed the requirements of Buyer's Transporter, including, but not limited to, its quality, temperature and pressure requirements.</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20</w:t>
      </w:r>
      <w:r>
        <w:rPr>
          <w:sz w:val="20"/>
          <w:rFonts w:cs="Arial" w:ascii="Arial" w:hAnsi="Arial"/>
        </w:rPr>
        <w:fldChar w:fldCharType="end"/>
      </w:r>
      <w:r>
        <w:rPr>
          <w:rFonts w:cs="Arial" w:ascii="Arial" w:hAnsi="Arial"/>
          <w:sz w:val="20"/>
        </w:rPr>
        <w:tab/>
      </w:r>
      <w:r>
        <w:rPr>
          <w:rFonts w:cs="Arial" w:ascii="Arial" w:hAnsi="Arial"/>
          <w:sz w:val="20"/>
          <w:u w:val="single"/>
        </w:rPr>
        <w:t>Measurement</w:t>
      </w:r>
      <w:r>
        <w:rPr>
          <w:rFonts w:cs="Arial" w:ascii="Arial" w:hAnsi="Arial"/>
          <w:sz w:val="20"/>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21</w:t>
      </w:r>
      <w:r>
        <w:rPr>
          <w:sz w:val="20"/>
          <w:rFonts w:cs="Arial" w:ascii="Arial" w:hAnsi="Arial"/>
        </w:rPr>
        <w:fldChar w:fldCharType="end"/>
      </w:r>
      <w:r>
        <w:rPr>
          <w:rFonts w:cs="Arial" w:ascii="Arial" w:hAnsi="Arial"/>
          <w:sz w:val="20"/>
        </w:rPr>
        <w:tab/>
      </w:r>
      <w:r>
        <w:rPr>
          <w:rFonts w:cs="Arial" w:ascii="Arial" w:hAnsi="Arial"/>
          <w:sz w:val="20"/>
          <w:u w:val="single"/>
        </w:rPr>
        <w:t>Multiple Delivery Point Utilization</w:t>
      </w:r>
      <w:r>
        <w:rPr>
          <w:rFonts w:cs="Arial" w:ascii="Arial" w:hAnsi="Arial"/>
          <w:sz w:val="20"/>
        </w:rPr>
        <w:t xml:space="preserve">.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22</w:t>
      </w:r>
      <w:r>
        <w:rPr>
          <w:sz w:val="20"/>
          <w:rFonts w:cs="Arial" w:ascii="Arial" w:hAnsi="Arial"/>
        </w:rPr>
        <w:fldChar w:fldCharType="end"/>
      </w:r>
      <w:r>
        <w:rPr>
          <w:rFonts w:cs="Arial" w:ascii="Arial" w:hAnsi="Arial"/>
          <w:sz w:val="20"/>
        </w:rPr>
        <w:tab/>
      </w:r>
      <w:r>
        <w:rPr>
          <w:rFonts w:cs="Arial" w:ascii="Arial" w:hAnsi="Arial"/>
          <w:sz w:val="20"/>
          <w:u w:val="single"/>
        </w:rPr>
        <w:t>NOVA Inventory Transfer</w:t>
      </w:r>
      <w:r>
        <w:rPr>
          <w:rFonts w:cs="Arial" w:ascii="Arial" w:hAnsi="Arial"/>
          <w:sz w:val="20"/>
        </w:rPr>
        <w:t xml:space="preserve">.  If for any Transaction the Delivery Point is agreed to be NIT, the following shall apply:  </w:t>
      </w:r>
    </w:p>
    <w:p>
      <w:pPr>
        <w:pStyle w:val="Heading2"/>
        <w:ind w:hanging="540" w:start="900" w:end="0"/>
        <w:rPr>
          <w:rFonts w:ascii="Arial" w:hAnsi="Arial" w:cs="Arial"/>
          <w:sz w:val="20"/>
        </w:rPr>
      </w:pPr>
      <w:r>
        <w:rPr>
          <w:rFonts w:cs="Arial" w:ascii="Arial" w:hAnsi="Arial"/>
          <w:sz w:val="20"/>
        </w:rPr>
        <w:t>(a)</w:t>
        <w:tab/>
        <w:t>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w:t>
      </w:r>
    </w:p>
    <w:p>
      <w:pPr>
        <w:pStyle w:val="Heading2"/>
        <w:ind w:hanging="540" w:start="900" w:end="0"/>
        <w:rPr>
          <w:rFonts w:ascii="Arial" w:hAnsi="Arial" w:cs="Arial"/>
          <w:sz w:val="20"/>
        </w:rPr>
      </w:pPr>
      <w:r>
        <w:rPr>
          <w:rFonts w:cs="Arial" w:ascii="Arial" w:hAnsi="Arial"/>
          <w:sz w:val="20"/>
        </w:rPr>
        <w:t xml:space="preserve">(b)  </w:t>
        <w:tab/>
        <w:t>following any change in the Delivery Point, Seller shall continue to be responsible for the payment of all NOVA costs for delivery of Gas to the new Delivery Point; and</w:t>
      </w:r>
    </w:p>
    <w:p>
      <w:pPr>
        <w:pStyle w:val="Heading2"/>
        <w:ind w:hanging="540" w:start="900" w:end="0"/>
        <w:rPr>
          <w:rFonts w:ascii="Arial" w:hAnsi="Arial" w:cs="Arial"/>
          <w:sz w:val="20"/>
        </w:rPr>
      </w:pPr>
      <w:r>
        <w:rPr>
          <w:rFonts w:cs="Arial" w:ascii="Arial" w:hAnsi="Arial"/>
          <w:sz w:val="20"/>
        </w:rPr>
        <w:t>(c)</w:t>
        <w:tab/>
        <w:t xml:space="preserve">if NOVA institutes a fee for title transfers (or if pursuant to Section 7.6(a), above, the Delivery Point is changed to AECO “C” and AECO “C” imposes a fee for title transfers), such fee shall be shared equally by the Parties. </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23</w:t>
      </w:r>
      <w:r>
        <w:rPr>
          <w:sz w:val="20"/>
          <w:rFonts w:cs="Arial" w:ascii="Arial" w:hAnsi="Arial"/>
        </w:rPr>
        <w:fldChar w:fldCharType="end"/>
      </w:r>
      <w:r>
        <w:rPr>
          <w:rFonts w:cs="Arial" w:ascii="Arial" w:hAnsi="Arial"/>
          <w:sz w:val="20"/>
        </w:rPr>
        <w:br/>
        <w:t>POSSESSION AND TITLE</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24</w:t>
      </w:r>
      <w:r>
        <w:rPr>
          <w:sz w:val="20"/>
          <w:rFonts w:cs="Arial" w:ascii="Arial" w:hAnsi="Arial"/>
        </w:rPr>
        <w:fldChar w:fldCharType="end"/>
      </w:r>
      <w:r>
        <w:rPr>
          <w:rFonts w:cs="Arial" w:ascii="Arial" w:hAnsi="Arial"/>
          <w:sz w:val="20"/>
        </w:rPr>
        <w:tab/>
      </w:r>
      <w:r>
        <w:rPr>
          <w:rFonts w:cs="Arial" w:ascii="Arial" w:hAnsi="Arial"/>
          <w:sz w:val="20"/>
          <w:u w:val="single"/>
        </w:rPr>
        <w:t>Title Transfer and Indemnity</w:t>
      </w:r>
      <w:r>
        <w:rPr>
          <w:rFonts w:cs="Arial" w:ascii="Arial" w:hAnsi="Arial"/>
          <w:sz w:val="20"/>
        </w:rPr>
        <w:t>.  As between the Parties, (a) Seller shall be deemed to be in exclusive control and possession of the Gas deliverable hereunder and responsible for any injury or damage caused thereby prior to the time it is delivered to Buyer, and (b)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25</w:t>
      </w:r>
      <w:r>
        <w:rPr>
          <w:sz w:val="20"/>
          <w:rFonts w:cs="Arial" w:ascii="Arial" w:hAnsi="Arial"/>
        </w:rPr>
        <w:fldChar w:fldCharType="end"/>
      </w:r>
      <w:r>
        <w:rPr>
          <w:rFonts w:cs="Arial" w:ascii="Arial" w:hAnsi="Arial"/>
          <w:sz w:val="20"/>
        </w:rPr>
        <w:tab/>
      </w:r>
      <w:r>
        <w:rPr>
          <w:rFonts w:cs="Arial" w:ascii="Arial" w:hAnsi="Arial"/>
          <w:sz w:val="20"/>
          <w:u w:val="single"/>
        </w:rPr>
        <w:t>Risk of Loss</w:t>
      </w:r>
      <w:r>
        <w:rPr>
          <w:rFonts w:cs="Arial" w:ascii="Arial" w:hAnsi="Arial"/>
          <w:sz w:val="20"/>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26</w:t>
      </w:r>
      <w:r>
        <w:rPr>
          <w:sz w:val="20"/>
          <w:rFonts w:cs="Arial" w:ascii="Arial" w:hAnsi="Arial"/>
        </w:rPr>
        <w:fldChar w:fldCharType="end"/>
      </w:r>
      <w:r>
        <w:rPr>
          <w:rFonts w:cs="Arial" w:ascii="Arial" w:hAnsi="Arial"/>
          <w:sz w:val="20"/>
        </w:rPr>
        <w:br/>
        <w:t>BILLING AND PAYMENT</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27</w:t>
      </w:r>
      <w:r>
        <w:rPr>
          <w:sz w:val="20"/>
          <w:rFonts w:cs="Arial" w:ascii="Arial" w:hAnsi="Arial"/>
        </w:rPr>
        <w:fldChar w:fldCharType="end"/>
      </w:r>
      <w:r>
        <w:rPr>
          <w:rFonts w:cs="Arial" w:ascii="Arial" w:hAnsi="Arial"/>
          <w:sz w:val="20"/>
        </w:rPr>
        <w:tab/>
      </w:r>
      <w:r>
        <w:rPr>
          <w:rFonts w:cs="Arial" w:ascii="Arial" w:hAnsi="Arial"/>
          <w:sz w:val="20"/>
          <w:u w:val="single"/>
        </w:rPr>
        <w:t>Invoice Date and Charges</w:t>
      </w:r>
      <w:r>
        <w:rPr>
          <w:rFonts w:cs="Arial" w:ascii="Arial" w:hAnsi="Arial"/>
          <w:sz w:val="20"/>
        </w:rPr>
        <w:t>.</w:t>
      </w:r>
    </w:p>
    <w:p>
      <w:pPr>
        <w:pStyle w:val="Heading2"/>
        <w:rPr>
          <w:rFonts w:ascii="Arial" w:hAnsi="Arial" w:cs="Arial"/>
          <w:sz w:val="20"/>
        </w:rPr>
      </w:pPr>
      <w:r>
        <w:rPr>
          <w:rFonts w:cs="Arial" w:ascii="Arial" w:hAnsi="Arial"/>
          <w:sz w:val="20"/>
        </w:rPr>
        <w:t>(a)</w:t>
        <w:tab/>
        <w:t>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Gas or by netting, as the Parties may agree.</w:t>
      </w:r>
    </w:p>
    <w:p>
      <w:pPr>
        <w:pStyle w:val="Heading2"/>
        <w:rPr>
          <w:rFonts w:ascii="Arial" w:hAnsi="Arial" w:cs="Arial"/>
          <w:sz w:val="20"/>
        </w:rPr>
      </w:pPr>
      <w:r>
        <w:rPr>
          <w:rFonts w:cs="Arial" w:ascii="Arial" w:hAnsi="Arial"/>
          <w:sz w:val="20"/>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rFonts w:cs="Arial" w:ascii="Arial" w:hAnsi="Arial"/>
          <w:sz w:val="20"/>
        </w:rPr>
        <w:t>(i)</w:t>
        <w:tab/>
        <w:t xml:space="preserve">In the case of a Seller’s Deficiency Default, in addition to “Seller’s Payment”, for each GJ in the Seller’s Deficiency Quantity Seller shall pay Buyer Cdn. $0.15, </w:t>
      </w:r>
      <w:r>
        <w:rPr>
          <w:rFonts w:cs="Arial" w:ascii="Arial" w:hAnsi="Arial"/>
          <w:sz w:val="20"/>
          <w:u w:val="single"/>
        </w:rPr>
        <w:t>plus</w:t>
      </w:r>
      <w:r>
        <w:rPr>
          <w:rFonts w:cs="Arial" w:ascii="Arial" w:hAnsi="Arial"/>
          <w:sz w:val="20"/>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rFonts w:ascii="Arial" w:hAnsi="Arial" w:cs="Arial"/>
          <w:sz w:val="20"/>
        </w:rPr>
      </w:pPr>
      <w:r>
        <w:rPr>
          <w:rFonts w:cs="Arial" w:ascii="Arial" w:hAnsi="Arial"/>
          <w:sz w:val="20"/>
        </w:rPr>
        <w:t>(ii)</w:t>
        <w:tab/>
        <w:t>In the case of a Buyer’s Deficiency Default, Buyer shall not be liable for paying Seller any amount under Section 6.4.</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28</w:t>
      </w:r>
      <w:r>
        <w:rPr>
          <w:sz w:val="20"/>
          <w:rFonts w:cs="Arial" w:ascii="Arial" w:hAnsi="Arial"/>
        </w:rPr>
        <w:fldChar w:fldCharType="end"/>
      </w:r>
      <w:r>
        <w:rPr>
          <w:rFonts w:cs="Arial" w:ascii="Arial" w:hAnsi="Arial"/>
          <w:sz w:val="20"/>
        </w:rPr>
        <w:tab/>
      </w:r>
      <w:r>
        <w:rPr>
          <w:rFonts w:cs="Arial" w:ascii="Arial" w:hAnsi="Arial"/>
          <w:sz w:val="20"/>
          <w:u w:val="single"/>
        </w:rPr>
        <w:t>Payment Date</w:t>
      </w:r>
      <w:r>
        <w:rPr>
          <w:rFonts w:cs="Arial" w:ascii="Arial" w:hAnsi="Arial"/>
          <w:sz w:val="20"/>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29</w:t>
      </w:r>
      <w:r>
        <w:rPr>
          <w:sz w:val="20"/>
          <w:rFonts w:cs="Arial" w:ascii="Arial" w:hAnsi="Arial"/>
        </w:rPr>
        <w:fldChar w:fldCharType="end"/>
      </w:r>
      <w:r>
        <w:rPr>
          <w:rFonts w:cs="Arial" w:ascii="Arial" w:hAnsi="Arial"/>
          <w:sz w:val="20"/>
        </w:rPr>
        <w:tab/>
      </w:r>
      <w:r>
        <w:rPr>
          <w:rFonts w:cs="Arial" w:ascii="Arial" w:hAnsi="Arial"/>
          <w:sz w:val="20"/>
          <w:u w:val="single"/>
        </w:rPr>
        <w:t>Late Payment</w:t>
      </w:r>
      <w:r>
        <w:rPr>
          <w:rFonts w:cs="Arial" w:ascii="Arial" w:hAnsi="Arial"/>
          <w:sz w:val="20"/>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30</w:t>
      </w:r>
      <w:r>
        <w:rPr>
          <w:sz w:val="20"/>
          <w:rFonts w:cs="Arial" w:ascii="Arial" w:hAnsi="Arial"/>
        </w:rPr>
        <w:fldChar w:fldCharType="end"/>
      </w:r>
      <w:r>
        <w:rPr>
          <w:rFonts w:cs="Arial" w:ascii="Arial" w:hAnsi="Arial"/>
          <w:sz w:val="20"/>
        </w:rPr>
        <w:tab/>
      </w:r>
      <w:r>
        <w:rPr>
          <w:rFonts w:cs="Arial" w:ascii="Arial" w:hAnsi="Arial"/>
          <w:sz w:val="20"/>
          <w:u w:val="single"/>
        </w:rPr>
        <w:t>Seller's Suspension of Performance</w:t>
      </w:r>
      <w:r>
        <w:rPr>
          <w:rFonts w:cs="Arial" w:ascii="Arial" w:hAnsi="Arial"/>
          <w:sz w:val="20"/>
        </w:rPr>
        <w:t xml:space="preserve">.  If Buyer fails to make timely payment and such failure is not remedied within three (3)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31</w:t>
      </w:r>
      <w:r>
        <w:rPr>
          <w:sz w:val="20"/>
          <w:rFonts w:cs="Arial" w:ascii="Arial" w:hAnsi="Arial"/>
        </w:rPr>
        <w:fldChar w:fldCharType="end"/>
      </w:r>
      <w:r>
        <w:rPr>
          <w:rFonts w:cs="Arial" w:ascii="Arial" w:hAnsi="Arial"/>
          <w:sz w:val="20"/>
        </w:rPr>
        <w:tab/>
      </w:r>
      <w:r>
        <w:rPr>
          <w:rFonts w:cs="Arial" w:ascii="Arial" w:hAnsi="Arial"/>
          <w:sz w:val="20"/>
          <w:u w:val="single"/>
        </w:rPr>
        <w:t>Netting</w:t>
      </w:r>
      <w:r>
        <w:rPr>
          <w:rFonts w:cs="Arial" w:ascii="Arial" w:hAnsi="Arial"/>
          <w:sz w:val="20"/>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32</w:t>
      </w:r>
      <w:r>
        <w:rPr>
          <w:sz w:val="20"/>
          <w:rFonts w:cs="Arial" w:ascii="Arial" w:hAnsi="Arial"/>
        </w:rPr>
        <w:fldChar w:fldCharType="end"/>
      </w:r>
      <w:r>
        <w:rPr>
          <w:rFonts w:cs="Arial" w:ascii="Arial" w:hAnsi="Arial"/>
          <w:sz w:val="20"/>
        </w:rPr>
        <w:tab/>
      </w:r>
      <w:r>
        <w:rPr>
          <w:rFonts w:cs="Arial" w:ascii="Arial" w:hAnsi="Arial"/>
          <w:sz w:val="20"/>
          <w:u w:val="single"/>
        </w:rPr>
        <w:t>Billing/Payment Address</w:t>
      </w:r>
      <w:r>
        <w:rPr>
          <w:rFonts w:cs="Arial" w:ascii="Arial" w:hAnsi="Arial"/>
          <w:sz w:val="20"/>
        </w:rPr>
        <w:t xml:space="preserve">.  Billings, payments and statements shall be made to the accounts or the addresses specified in Exhibit “A” hereto.  </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33</w:t>
      </w:r>
      <w:r>
        <w:rPr>
          <w:sz w:val="20"/>
          <w:rFonts w:cs="Arial" w:ascii="Arial" w:hAnsi="Arial"/>
        </w:rPr>
        <w:fldChar w:fldCharType="end"/>
      </w:r>
      <w:r>
        <w:rPr>
          <w:rFonts w:cs="Arial" w:ascii="Arial" w:hAnsi="Arial"/>
          <w:sz w:val="20"/>
        </w:rPr>
        <w:br/>
        <w:t>DEFAULTS AND REMEDIES</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34</w:t>
      </w:r>
      <w:r>
        <w:rPr>
          <w:sz w:val="20"/>
          <w:rFonts w:cs="Arial" w:ascii="Arial" w:hAnsi="Arial"/>
        </w:rPr>
        <w:fldChar w:fldCharType="end"/>
      </w:r>
      <w:r>
        <w:rPr>
          <w:rFonts w:cs="Arial" w:ascii="Arial" w:hAnsi="Arial"/>
          <w:sz w:val="20"/>
        </w:rPr>
        <w:tab/>
      </w:r>
      <w:r>
        <w:rPr>
          <w:rFonts w:cs="Arial" w:ascii="Arial" w:hAnsi="Arial"/>
          <w:sz w:val="20"/>
          <w:u w:val="single"/>
        </w:rPr>
        <w:t>Early Termination</w:t>
      </w:r>
      <w:r>
        <w:rPr>
          <w:rFonts w:cs="Arial" w:ascii="Arial" w:hAnsi="Arial"/>
          <w:sz w:val="20"/>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which notice shall be given no later than sixty (60) Days after the discovery of the occurrence of the Triggering Event,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(d) or (e)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35</w:t>
      </w:r>
      <w:r>
        <w:rPr>
          <w:sz w:val="20"/>
          <w:rFonts w:cs="Arial" w:ascii="Arial" w:hAnsi="Arial"/>
        </w:rPr>
        <w:fldChar w:fldCharType="end"/>
      </w:r>
      <w:r>
        <w:rPr>
          <w:rFonts w:cs="Arial" w:ascii="Arial" w:hAnsi="Arial"/>
          <w:sz w:val="20"/>
        </w:rPr>
        <w:tab/>
      </w:r>
      <w:r>
        <w:rPr>
          <w:rFonts w:cs="Arial" w:ascii="Arial" w:hAnsi="Arial"/>
          <w:sz w:val="20"/>
          <w:u w:val="single"/>
        </w:rPr>
        <w:t>Termination Payment</w:t>
      </w:r>
      <w:r>
        <w:rPr>
          <w:rFonts w:cs="Arial" w:ascii="Arial" w:hAnsi="Arial"/>
          <w:sz w:val="20"/>
        </w:rPr>
        <w:t>.  If, pursuant to Section 10.1, (a) the Notifying Party elects to terminate any or all Transactions under this Agreement or (b) this Agreement and all Transactions hereunder automatically terminate, without notice, as a result of the occurrence of any Triggering Event listed in item (d) or (e)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rFonts w:ascii="Arial" w:hAnsi="Arial" w:cs="Arial"/>
          <w:sz w:val="20"/>
        </w:rPr>
      </w:pPr>
      <w:r>
        <w:rPr>
          <w:rFonts w:cs="Arial" w:ascii="Arial" w:hAnsi="Arial"/>
          <w:sz w:val="20"/>
        </w:rPr>
        <w:t>“</w:t>
      </w:r>
      <w:r>
        <w:rPr>
          <w:rFonts w:cs="Arial" w:ascii="Arial" w:hAnsi="Arial"/>
          <w:sz w:val="20"/>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rFonts w:ascii="Arial" w:hAnsi="Arial" w:cs="Arial"/>
          <w:sz w:val="20"/>
        </w:rPr>
      </w:pPr>
      <w:r>
        <w:rPr>
          <w:rFonts w:cs="Arial" w:ascii="Arial" w:hAnsi="Arial"/>
          <w:sz w:val="20"/>
        </w:rPr>
        <w:t>“</w:t>
      </w:r>
      <w:r>
        <w:rPr>
          <w:rFonts w:cs="Arial" w:ascii="Arial" w:hAnsi="Arial"/>
          <w:sz w:val="20"/>
        </w:rPr>
        <w:t>(b)” represents the amount that the Notifying Party would have paid to or received from (as the case may be) the Affected Party for the DCQ, or MaxDQ, as applicable, at the Contract Price during the remaining time in the Period of Delivery in each Transaction.</w:t>
      </w:r>
    </w:p>
    <w:p>
      <w:pPr>
        <w:pStyle w:val="Heading2"/>
        <w:rPr>
          <w:rFonts w:ascii="Arial" w:hAnsi="Arial" w:cs="Arial"/>
          <w:sz w:val="20"/>
        </w:rPr>
      </w:pPr>
      <w:r>
        <w:rPr>
          <w:rFonts w:cs="Arial" w:ascii="Arial" w:hAnsi="Arial"/>
          <w:sz w:val="20"/>
        </w:rPr>
        <w:t>The present value of the deemed economic loss for each terminated Transaction shall be determined by applying the Present Value Discount Rate to the difference between (a) and (b) above.</w:t>
      </w:r>
    </w:p>
    <w:p>
      <w:pPr>
        <w:pStyle w:val="Heading2"/>
        <w:rPr/>
      </w:pPr>
      <w:r>
        <w:rPr>
          <w:rFonts w:cs="Arial" w:ascii="Arial" w:hAnsi="Arial"/>
          <w:sz w:val="20"/>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The Notifying Party shall give the Affected Party written notice of the net amount of Early Termination Damages, which net amount, if constituting a loss to the Notifying Party, shall be increased by, and, if constituting a gain to the Notifying Party, shall be decreased by, the sum of:  (a) the Notifying Party’s associated costs and legal expenses (estimated, to the extent necessary) related to the determination of the Early Termination Damages and enforcement of the Notifying Party’s rights and remedies with respect thereto or for the collection thereof, plus (b) all amounts owed but not yet paid by the Affected Party (whether or not such amounts are then due) pursuant to any and all Transactions, less (c) all amounts owed but not yet paid by the Notifying Party (whether or not such amounts are then due) pursuant to any and all Transactions (the sum of all of the foregoing being referred to as the “Termination Payment”), stating in reasonable detail how the amount was calculated.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w:t>
      </w:r>
      <w:r>
        <w:rPr/>
        <w:t xml:space="preserve">  </w:t>
      </w:r>
      <w:r>
        <w:rPr>
          <w:rFonts w:cs="Arial" w:ascii="Arial" w:hAnsi="Arial"/>
          <w:sz w:val="20"/>
        </w:rPr>
        <w:t>The Termination Payment shall be made to the appropriate Party within ten (10) Days of receipt of such notice by the Affected Party.</w:t>
      </w:r>
    </w:p>
    <w:p>
      <w:pPr>
        <w:pStyle w:val="Heading6"/>
        <w:ind w:start="0" w:end="0"/>
        <w:rPr/>
      </w:pPr>
      <w:r>
        <w:rPr>
          <w:rFonts w:cs="Arial" w:ascii="Arial" w:hAnsi="Arial"/>
          <w:sz w:val="20"/>
        </w:rPr>
        <w:tab/>
        <w:t>10.3.</w:t>
        <w:tab/>
      </w:r>
      <w:r>
        <w:rPr>
          <w:rFonts w:cs="Arial" w:ascii="Arial" w:hAnsi="Arial"/>
          <w:sz w:val="20"/>
          <w:u w:val="single"/>
        </w:rPr>
        <w:t>Triggering Event.</w:t>
      </w:r>
      <w:r>
        <w:rPr>
          <w:rFonts w:cs="Arial" w:ascii="Arial" w:hAnsi="Arial"/>
          <w:sz w:val="20"/>
        </w:rPr>
        <w:t xml:space="preserve"> “Triggering Event” shall mean: (a)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(b) any representation or warranty made by or with respect to the Affected Party in this Agreement shall prove to have been false or misleading in any material respect when made or deemed to be repeated; or (c)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(d) the Affected Party, or CNRL (with respect to Customer as the Affected Party) or Enron Canada’s Guarantor (with respect to Enron Canada as the Affected Party)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rFonts w:cs="Arial" w:ascii="Arial" w:hAnsi="Arial"/>
          <w:i/>
          <w:sz w:val="20"/>
          <w:u w:val="single"/>
        </w:rPr>
        <w:t>Bankruptcy and Insolvency Act</w:t>
      </w:r>
      <w:r>
        <w:rPr>
          <w:rFonts w:cs="Arial" w:ascii="Arial" w:hAnsi="Arial"/>
          <w:sz w:val="20"/>
        </w:rPr>
        <w:t xml:space="preserve"> (Canada), the </w:t>
      </w:r>
      <w:r>
        <w:rPr>
          <w:rFonts w:cs="Arial" w:ascii="Arial" w:hAnsi="Arial"/>
          <w:i/>
          <w:sz w:val="20"/>
          <w:u w:val="single"/>
        </w:rPr>
        <w:t>Companies’ Creditors Arrangement Act</w:t>
      </w:r>
      <w:r>
        <w:rPr>
          <w:rFonts w:cs="Arial" w:ascii="Arial" w:hAnsi="Arial"/>
          <w:sz w:val="20"/>
        </w:rPr>
        <w:t xml:space="preserve"> (Canada)</w:t>
      </w:r>
      <w:r>
        <w:rPr>
          <w:rFonts w:cs="Arial" w:ascii="Arial" w:hAnsi="Arial"/>
          <w:i/>
          <w:sz w:val="20"/>
        </w:rPr>
        <w:t xml:space="preserve"> </w:t>
      </w:r>
      <w:r>
        <w:rPr>
          <w:rFonts w:cs="Arial" w:ascii="Arial" w:hAnsi="Arial"/>
          <w:sz w:val="20"/>
        </w:rPr>
        <w:t xml:space="preserve">or the </w:t>
      </w:r>
      <w:r>
        <w:rPr>
          <w:rFonts w:cs="Arial" w:ascii="Arial" w:hAnsi="Arial"/>
          <w:i/>
          <w:sz w:val="20"/>
          <w:u w:val="single"/>
        </w:rPr>
        <w:t>Winding-Up and Restructuring Act</w:t>
      </w:r>
      <w:r>
        <w:rPr>
          <w:rFonts w:cs="Arial" w:ascii="Arial" w:hAnsi="Arial"/>
          <w:sz w:val="20"/>
        </w:rPr>
        <w:t xml:space="preserve"> (Canada)</w:t>
      </w:r>
      <w:r>
        <w:rPr>
          <w:rFonts w:cs="Arial" w:ascii="Arial" w:hAnsi="Arial"/>
          <w:i/>
          <w:sz w:val="20"/>
        </w:rPr>
        <w:t xml:space="preserve"> </w:t>
      </w:r>
      <w:r>
        <w:rPr>
          <w:rFonts w:cs="Arial" w:ascii="Arial" w:hAnsi="Arial"/>
          <w:sz w:val="20"/>
        </w:rPr>
        <w:t xml:space="preserve">(in any case, as amended, restated, replaced or re-enacted from time to time); (iii) have any such petition filed, ruling, order, directive or pronouncement obtained, or any such proceeding commenced against it and such petition, ruling, order, directive, pronouncement or proceeding remains undismissed for thirty (30) Days; (iv) otherwise become bankrupt or Insolvent (however evidenced); or (v) be unable to pay its debts as they fall due; or (e) pursuant to any bankruptcy, insolvency or similar law (regardless of the jurisdiction of application or competence of such law), including, but not limited to, the </w:t>
      </w:r>
      <w:r>
        <w:rPr>
          <w:rFonts w:cs="Arial" w:ascii="Arial" w:hAnsi="Arial"/>
          <w:i/>
          <w:sz w:val="20"/>
          <w:u w:val="single"/>
        </w:rPr>
        <w:t>Bankruptcy and Insolvency Act</w:t>
      </w:r>
      <w:r>
        <w:rPr>
          <w:rFonts w:cs="Arial" w:ascii="Arial" w:hAnsi="Arial"/>
          <w:sz w:val="20"/>
        </w:rPr>
        <w:t xml:space="preserve"> (Canada), the </w:t>
      </w:r>
      <w:r>
        <w:rPr>
          <w:rFonts w:cs="Arial" w:ascii="Arial" w:hAnsi="Arial"/>
          <w:i/>
          <w:sz w:val="20"/>
          <w:u w:val="single"/>
        </w:rPr>
        <w:t>Companies’ Creditors Arrangement Act</w:t>
      </w:r>
      <w:r>
        <w:rPr>
          <w:rFonts w:cs="Arial" w:ascii="Arial" w:hAnsi="Arial"/>
          <w:sz w:val="20"/>
        </w:rPr>
        <w:t xml:space="preserve"> (Canada) or the </w:t>
      </w:r>
      <w:r>
        <w:rPr>
          <w:rFonts w:cs="Arial" w:ascii="Arial" w:hAnsi="Arial"/>
          <w:i/>
          <w:sz w:val="20"/>
          <w:u w:val="single"/>
        </w:rPr>
        <w:t>Winding-Up and Restructuring Act</w:t>
      </w:r>
      <w:r>
        <w:rPr>
          <w:rFonts w:cs="Arial" w:ascii="Arial" w:hAnsi="Arial"/>
          <w:sz w:val="20"/>
        </w:rPr>
        <w:t xml:space="preserve"> (Canada) (in any case, as amended, restated, replaced or re-enacted from time to time) affecting the Affected Party,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(f) Seller's unexcused failure to deliver Buyer's Requested Quantity for thirty (30) Days, in the aggregate, in any twelve-Month period, or for ten (10) consecutive Days, in any one Transaction; or (g) if a DCQ applies, Buyer’s unexcused failure to receive the DCQ for thirty (30) Days, in the aggregate, in any twelve-Month period, or for ten (10) consecutive Days, in any one Transaction, or if a MinPQ applies, Buyer's unexcused failure to receive the MinPQ for any two (2) Months in any twelve-Month period, in any one Transaction; or (h) the occurrence of a Material Adverse Change with respect to the Affected Party under the Schedule to the ISDA Master as referred to in, and amended by the Master Netting and Collateral Agreement; or (i) the Affected Party fails to establish, maintain, extend or increase a Letter of Credit provided or, to be provided, as Performance Assurance as and when required pursuant to the Credit Support Annex to the ISDA Master, as referred to in, and amended by the Master Netting and Collateral Agreement; or (j) with respect to Customer, Customer or CNRL shall have defaulted with respect to its indebtedness to third parties, resulting in an Acceleration of Obligations of Customer or CNRL in excess of 5% of CNRL’s shareholders’ equity and in no event more than </w:t>
      </w:r>
      <w:r>
        <w:rPr>
          <w:rFonts w:cs="Arial" w:ascii="Arial" w:hAnsi="Arial"/>
          <w:color w:val="0000FF"/>
          <w:sz w:val="20"/>
        </w:rPr>
        <w:t>U.S.</w:t>
      </w:r>
      <w:r>
        <w:rPr>
          <w:rFonts w:cs="Arial" w:ascii="Arial" w:hAnsi="Arial"/>
          <w:sz w:val="20"/>
        </w:rPr>
        <w:t xml:space="preserve"> </w:t>
      </w:r>
      <w:r>
        <w:rPr>
          <w:rFonts w:cs="Arial" w:ascii="Arial" w:hAnsi="Arial"/>
          <w:color w:val="0000FF"/>
          <w:sz w:val="20"/>
        </w:rPr>
        <w:t>$50 million</w:t>
      </w:r>
      <w:r>
        <w:rPr>
          <w:rFonts w:cs="Arial" w:ascii="Arial" w:hAnsi="Arial"/>
          <w:sz w:val="20"/>
        </w:rPr>
        <w:t>; or, with respect to Enron Canada, Enron Canada’s Guarantor shall have defaulted on its indebted</w:t>
        <w:softHyphen/>
        <w:t xml:space="preserve">ness to third parties, resulting in an Acceleration of Obligations of Enron Canada’ Guarantor in excess of </w:t>
      </w:r>
      <w:r>
        <w:rPr>
          <w:rFonts w:cs="Arial" w:ascii="Arial" w:hAnsi="Arial"/>
          <w:color w:val="0000FF"/>
          <w:sz w:val="20"/>
        </w:rPr>
        <w:t>U.S. $100 million</w:t>
      </w:r>
      <w:r>
        <w:rPr>
          <w:rFonts w:cs="Arial" w:ascii="Arial" w:hAnsi="Arial"/>
          <w:sz w:val="20"/>
        </w:rPr>
        <w:t xml:space="preserve">; or (k) with respect to Enron Canada, Enron Canada’s Guarantor fails to perform any covenant set forth in the Guarantee Agreement, or any representation or warranty made by Enron Canada’s Guarantor in the Guarantee Agreement shall prove to have been false or misleading in any material respect when made or deemed to have been repeated; or (l) with respect to Customer, CNRL ceases to be its General Partner.  </w:t>
      </w:r>
    </w:p>
    <w:p>
      <w:pPr>
        <w:pStyle w:val="Heading2"/>
        <w:rPr>
          <w:rFonts w:ascii="Arial" w:hAnsi="Arial" w:cs="Arial"/>
          <w:vanish/>
          <w:color w:val="FF0000"/>
          <w:sz w:val="20"/>
        </w:rPr>
      </w:pPr>
      <w:r>
        <w:rPr>
          <w:rFonts w:cs="Arial" w:ascii="Arial" w:hAnsi="Arial"/>
          <w:sz w:val="20"/>
        </w:rPr>
        <w:t>10.4.</w:t>
        <w:tab/>
      </w:r>
      <w:r>
        <w:rPr>
          <w:rFonts w:cs="Arial" w:ascii="Arial" w:hAnsi="Arial"/>
          <w:sz w:val="20"/>
          <w:u w:val="single"/>
        </w:rPr>
        <w:t>Other Events</w:t>
      </w:r>
      <w:r>
        <w:rPr>
          <w:rFonts w:cs="Arial" w:ascii="Arial" w:hAnsi="Arial"/>
          <w:sz w:val="20"/>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rFonts w:ascii="Arial" w:hAnsi="Arial" w:cs="Arial"/>
          <w:vanish/>
          <w:color w:val="FF0000"/>
          <w:sz w:val="20"/>
        </w:rPr>
      </w:pPr>
      <w:r>
        <w:rPr>
          <w:rFonts w:cs="Arial" w:ascii="Arial" w:hAnsi="Arial"/>
          <w:sz w:val="20"/>
        </w:rPr>
        <w:t xml:space="preserve">(a) renders the Affected Transaction illegal or incapable of being performed, or </w:t>
      </w:r>
    </w:p>
    <w:p>
      <w:pPr>
        <w:pStyle w:val="Heading7"/>
        <w:ind w:hanging="0" w:start="0" w:end="0"/>
        <w:rPr>
          <w:rFonts w:ascii="Arial" w:hAnsi="Arial" w:cs="Arial"/>
          <w:sz w:val="20"/>
        </w:rPr>
      </w:pPr>
      <w:r>
        <w:rPr>
          <w:rFonts w:cs="Arial" w:ascii="Arial" w:hAnsi="Arial"/>
          <w:sz w:val="20"/>
        </w:rPr>
        <w:t xml:space="preserve">(b) materially adversely affects the business of such Party, with respect to its financial position or otherwise, then either Party, in the case of (a) above, or any such Party whose business is materially adversely affected in the case of (b)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(a) if the Calculating Party is considered to have incurred a gain on the termination of the Affected Transaction(s), the Calculating Party shall pay one-half of such gain to the other Party; or (b)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 </w:t>
      </w:r>
    </w:p>
    <w:p>
      <w:pPr>
        <w:pStyle w:val="Heading2"/>
        <w:rPr/>
      </w:pPr>
      <w:r>
        <w:rPr>
          <w:rFonts w:cs="Arial" w:ascii="Arial" w:hAnsi="Arial"/>
          <w:sz w:val="20"/>
        </w:rPr>
        <w:t>10.5.</w:t>
        <w:tab/>
      </w:r>
      <w:r>
        <w:rPr>
          <w:rFonts w:cs="Arial" w:ascii="Arial" w:hAnsi="Arial"/>
          <w:sz w:val="20"/>
          <w:u w:val="single"/>
        </w:rPr>
        <w:t>Set-off</w:t>
      </w:r>
      <w:r>
        <w:rPr>
          <w:rFonts w:cs="Arial" w:ascii="Arial" w:hAnsi="Arial"/>
          <w:sz w:val="20"/>
        </w:rPr>
        <w:t>.  Each Party reserves to itself all Set-offs, counter</w:t>
        <w:softHyphen/>
        <w:t xml:space="preserve">claims and other remedies and defenses which such Party is or may be entitled to arising from or out of this Agreement, the Master Netting and Collateral Agreement, at law or in equity.  </w:t>
      </w:r>
    </w:p>
    <w:p>
      <w:pPr>
        <w:pStyle w:val="Justified"/>
        <w:rPr/>
      </w:pPr>
      <w:r>
        <w:rPr>
          <w:rFonts w:cs="Arial" w:ascii="Arial" w:hAnsi="Arial"/>
          <w:sz w:val="20"/>
        </w:rPr>
        <w:tab/>
        <w:t>10.6.</w:t>
        <w:tab/>
      </w:r>
      <w:r>
        <w:rPr>
          <w:rFonts w:cs="Arial" w:ascii="Arial" w:hAnsi="Arial"/>
          <w:sz w:val="20"/>
          <w:u w:val="single"/>
        </w:rPr>
        <w:t>Security</w:t>
      </w:r>
      <w:r>
        <w:rPr>
          <w:rFonts w:cs="Arial" w:ascii="Arial" w:hAnsi="Arial"/>
          <w:sz w:val="20"/>
        </w:rPr>
        <w:t>. In order to secure all payment obligations of Enron Canada to Customer hereunder, Enron Canada shall cause Enron Canada’s Guarantor to execute and deliver to Customer the Guarantee Agreement.</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36</w:t>
      </w:r>
      <w:r>
        <w:rPr>
          <w:sz w:val="20"/>
          <w:rFonts w:cs="Arial" w:ascii="Arial" w:hAnsi="Arial"/>
        </w:rPr>
        <w:fldChar w:fldCharType="end"/>
      </w:r>
      <w:r>
        <w:rPr>
          <w:rFonts w:cs="Arial" w:ascii="Arial" w:hAnsi="Arial"/>
          <w:sz w:val="20"/>
        </w:rPr>
        <w:br/>
        <w:t>exposure thresholds; collateral requirement</w:t>
      </w:r>
    </w:p>
    <w:p>
      <w:pPr>
        <w:pStyle w:val="Heading2"/>
        <w:rPr>
          <w:rFonts w:ascii="Arial" w:hAnsi="Arial" w:cs="Arial"/>
          <w:sz w:val="20"/>
        </w:rPr>
      </w:pPr>
      <w:r>
        <w:rPr>
          <w:rFonts w:cs="Arial" w:ascii="Arial" w:hAnsi="Arial"/>
          <w:sz w:val="20"/>
        </w:rPr>
        <w:t xml:space="preserve">Each Party shall strictly comply with the obligations of such Party to establish, maintain, extend or increase a Letter of Credit provided, or to be provided, as Performance Assurance as and when required pursuant to the Credit Support Annex to the ISDA Master, as referred to in, and amended by the Master Netting and Collateral Agreement. </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37</w:t>
      </w:r>
      <w:r>
        <w:rPr>
          <w:sz w:val="20"/>
          <w:rFonts w:cs="Arial" w:ascii="Arial" w:hAnsi="Arial"/>
        </w:rPr>
        <w:fldChar w:fldCharType="end"/>
      </w:r>
      <w:r>
        <w:rPr>
          <w:rFonts w:cs="Arial" w:ascii="Arial" w:hAnsi="Arial"/>
          <w:sz w:val="20"/>
        </w:rPr>
        <w:br/>
        <w:t>NOTICES</w:t>
      </w:r>
    </w:p>
    <w:p>
      <w:pPr>
        <w:pStyle w:val="Heading2"/>
        <w:rPr/>
      </w:pPr>
      <w:r>
        <w:rPr>
          <w:rFonts w:cs="Arial" w:ascii="Arial" w:hAnsi="Arial"/>
          <w:sz w:val="20"/>
          <w:u w:val="single"/>
        </w:rPr>
        <w:t>Address for and Receipt of Notices</w:t>
      </w:r>
      <w:r>
        <w:rPr>
          <w:rFonts w:cs="Arial" w:ascii="Arial" w:hAnsi="Arial"/>
          <w:sz w:val="20"/>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38</w:t>
      </w:r>
      <w:r>
        <w:rPr>
          <w:sz w:val="20"/>
          <w:rFonts w:cs="Arial" w:ascii="Arial" w:hAnsi="Arial"/>
        </w:rPr>
        <w:fldChar w:fldCharType="end"/>
      </w:r>
      <w:r>
        <w:rPr>
          <w:rFonts w:cs="Arial" w:ascii="Arial" w:hAnsi="Arial"/>
          <w:sz w:val="20"/>
        </w:rPr>
        <w:br/>
        <w:t>transfer or ASSIGNMENT</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39</w:t>
      </w:r>
      <w:r>
        <w:rPr>
          <w:sz w:val="20"/>
          <w:rFonts w:cs="Arial" w:ascii="Arial" w:hAnsi="Arial"/>
        </w:rPr>
        <w:fldChar w:fldCharType="end"/>
      </w:r>
      <w:r>
        <w:rPr>
          <w:rFonts w:cs="Arial" w:ascii="Arial" w:hAnsi="Arial"/>
          <w:sz w:val="20"/>
        </w:rPr>
        <w:tab/>
      </w:r>
      <w:r>
        <w:rPr>
          <w:rFonts w:cs="Arial" w:ascii="Arial" w:hAnsi="Arial"/>
          <w:sz w:val="20"/>
          <w:u w:val="single"/>
        </w:rPr>
        <w:t>Transfer or Assignment</w:t>
      </w:r>
      <w:r>
        <w:rPr>
          <w:rFonts w:cs="Arial" w:ascii="Arial" w:hAnsi="Arial"/>
          <w:sz w:val="20"/>
        </w:rPr>
        <w:t>.  Neither Party shall transfer or assign this Agreement without the prior written approval of the other Party, which approval may be withheld or given entirely at the option of such Party; provided, however, either Party may (i) transfer, sell, pledge, encumber or assign this Agreement or the accounts, revenues or proceeds hereof in connection with any financing or other financial arrangements, (ii) transfer or</w:t>
      </w:r>
      <w:r>
        <w:rPr/>
        <w:t xml:space="preserve"> </w:t>
      </w:r>
      <w:r>
        <w:rPr>
          <w:rFonts w:cs="Arial" w:ascii="Arial" w:hAnsi="Arial"/>
          <w:sz w:val="20"/>
        </w:rPr>
        <w:t>assign its interest hereunder to any of its Affiliates, or (iii) transfer or assign this Agreement to any person or entity succeeding to all or substantially all of the assets of such Party, all without the prior written approval of the other Party, but no such assignment will relieve the assigning Party of its obligations hereunder.</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40</w:t>
      </w:r>
      <w:r>
        <w:rPr>
          <w:sz w:val="20"/>
          <w:rFonts w:cs="Arial" w:ascii="Arial" w:hAnsi="Arial"/>
        </w:rPr>
        <w:fldChar w:fldCharType="end"/>
      </w:r>
      <w:r>
        <w:rPr>
          <w:rFonts w:cs="Arial" w:ascii="Arial" w:hAnsi="Arial"/>
          <w:sz w:val="20"/>
        </w:rPr>
        <w:tab/>
      </w:r>
      <w:r>
        <w:rPr>
          <w:rFonts w:cs="Arial" w:ascii="Arial" w:hAnsi="Arial"/>
          <w:sz w:val="20"/>
          <w:u w:val="single"/>
        </w:rPr>
        <w:t>Prohibited Transfers</w:t>
      </w:r>
      <w:r>
        <w:rPr>
          <w:rFonts w:cs="Arial" w:ascii="Arial" w:hAnsi="Arial"/>
          <w:sz w:val="20"/>
        </w:rPr>
        <w:t>.  Any Party's transfer or assign</w:t>
        <w:softHyphen/>
        <w:t xml:space="preserve">ment or purported transfer or assignment in violation of this Article 13 shall be void.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41</w:t>
      </w:r>
      <w:r>
        <w:rPr>
          <w:sz w:val="20"/>
          <w:rFonts w:cs="Arial" w:ascii="Arial" w:hAnsi="Arial"/>
        </w:rPr>
        <w:fldChar w:fldCharType="end"/>
      </w:r>
      <w:r>
        <w:rPr>
          <w:rFonts w:cs="Arial" w:ascii="Arial" w:hAnsi="Arial"/>
          <w:sz w:val="20"/>
        </w:rPr>
        <w:tab/>
      </w:r>
      <w:r>
        <w:rPr>
          <w:rFonts w:cs="Arial" w:ascii="Arial" w:hAnsi="Arial"/>
          <w:sz w:val="20"/>
          <w:u w:val="single"/>
        </w:rPr>
        <w:t>Enurement</w:t>
      </w:r>
      <w:r>
        <w:rPr>
          <w:rFonts w:cs="Arial" w:ascii="Arial" w:hAnsi="Arial"/>
          <w:sz w:val="20"/>
        </w:rPr>
        <w:t xml:space="preserve">.  This Agreement shall enure to and be binding upon the successors and permitted assigns of the Parties hereto.  </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42</w:t>
      </w:r>
      <w:r>
        <w:rPr>
          <w:sz w:val="20"/>
          <w:rFonts w:cs="Arial" w:ascii="Arial" w:hAnsi="Arial"/>
        </w:rPr>
        <w:fldChar w:fldCharType="end"/>
      </w:r>
      <w:r>
        <w:rPr>
          <w:rFonts w:cs="Arial" w:ascii="Arial" w:hAnsi="Arial"/>
          <w:sz w:val="20"/>
        </w:rPr>
        <w:br/>
        <w:t>FORCE MAJEURE</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43</w:t>
      </w:r>
      <w:r>
        <w:rPr>
          <w:sz w:val="20"/>
          <w:rFonts w:cs="Arial" w:ascii="Arial" w:hAnsi="Arial"/>
        </w:rPr>
        <w:fldChar w:fldCharType="end"/>
      </w:r>
      <w:r>
        <w:rPr>
          <w:rFonts w:cs="Arial" w:ascii="Arial" w:hAnsi="Arial"/>
          <w:sz w:val="20"/>
        </w:rPr>
        <w:tab/>
      </w:r>
      <w:r>
        <w:rPr>
          <w:rFonts w:cs="Arial" w:ascii="Arial" w:hAnsi="Arial"/>
          <w:sz w:val="20"/>
          <w:u w:val="single"/>
        </w:rPr>
        <w:t>Suspension for Force Majeure</w:t>
      </w:r>
      <w:r>
        <w:rPr>
          <w:rFonts w:cs="Arial" w:ascii="Arial" w:hAnsi="Arial"/>
          <w:sz w:val="20"/>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44</w:t>
      </w:r>
      <w:r>
        <w:rPr>
          <w:sz w:val="20"/>
          <w:rFonts w:cs="Arial" w:ascii="Arial" w:hAnsi="Arial"/>
        </w:rPr>
        <w:fldChar w:fldCharType="end"/>
      </w:r>
      <w:r>
        <w:rPr>
          <w:rFonts w:eastAsia="Arial" w:cs="Arial" w:ascii="Arial" w:hAnsi="Arial"/>
          <w:sz w:val="20"/>
        </w:rPr>
        <w:t xml:space="preserve"> </w:t>
      </w:r>
      <w:r>
        <w:rPr>
          <w:rFonts w:cs="Arial" w:ascii="Arial" w:hAnsi="Arial"/>
          <w:sz w:val="20"/>
        </w:rPr>
        <w:tab/>
      </w:r>
      <w:r>
        <w:rPr>
          <w:rFonts w:cs="Arial" w:ascii="Arial" w:hAnsi="Arial"/>
          <w:sz w:val="20"/>
          <w:u w:val="single"/>
        </w:rPr>
        <w:t>Force Majeure for Transactions with a Delivery Point at NOVA Inventory Transfer</w:t>
      </w:r>
      <w:r>
        <w:rPr>
          <w:rFonts w:cs="Arial" w:ascii="Arial" w:hAnsi="Arial"/>
          <w:sz w:val="20"/>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45</w:t>
      </w:r>
      <w:r>
        <w:rPr>
          <w:sz w:val="20"/>
          <w:rFonts w:cs="Arial" w:ascii="Arial" w:hAnsi="Arial"/>
        </w:rPr>
        <w:fldChar w:fldCharType="end"/>
      </w:r>
      <w:r>
        <w:rPr>
          <w:rFonts w:eastAsia="Arial" w:cs="Arial" w:ascii="Arial" w:hAnsi="Arial"/>
          <w:sz w:val="20"/>
        </w:rPr>
        <w:t xml:space="preserve"> </w:t>
      </w:r>
      <w:r>
        <w:rPr>
          <w:rFonts w:cs="Arial" w:ascii="Arial" w:hAnsi="Arial"/>
          <w:sz w:val="20"/>
        </w:rPr>
        <w:tab/>
      </w:r>
      <w:r>
        <w:rPr>
          <w:rFonts w:cs="Arial" w:ascii="Arial" w:hAnsi="Arial"/>
          <w:sz w:val="20"/>
          <w:u w:val="single"/>
        </w:rPr>
        <w:t>Force Majeure for Transactions with a Delivery Point other than NIT</w:t>
      </w:r>
      <w:r>
        <w:rPr>
          <w:rFonts w:cs="Arial" w:ascii="Arial" w:hAnsi="Arial"/>
          <w:sz w:val="20"/>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46</w:t>
      </w:r>
      <w:r>
        <w:rPr>
          <w:sz w:val="20"/>
          <w:rFonts w:cs="Arial" w:ascii="Arial" w:hAnsi="Arial"/>
        </w:rPr>
        <w:fldChar w:fldCharType="end"/>
      </w:r>
      <w:r>
        <w:rPr>
          <w:rFonts w:cs="Arial" w:ascii="Arial" w:hAnsi="Arial"/>
          <w:sz w:val="20"/>
        </w:rPr>
        <w:br/>
        <w:t>TAXES</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47</w:t>
      </w:r>
      <w:r>
        <w:rPr>
          <w:sz w:val="20"/>
          <w:rFonts w:cs="Arial" w:ascii="Arial" w:hAnsi="Arial"/>
        </w:rPr>
        <w:fldChar w:fldCharType="end"/>
      </w:r>
      <w:r>
        <w:rPr>
          <w:rFonts w:cs="Arial" w:ascii="Arial" w:hAnsi="Arial"/>
          <w:sz w:val="20"/>
        </w:rPr>
        <w:tab/>
      </w:r>
      <w:r>
        <w:rPr>
          <w:rFonts w:cs="Arial" w:ascii="Arial" w:hAnsi="Arial"/>
          <w:sz w:val="20"/>
          <w:u w:val="single"/>
        </w:rPr>
        <w:t>Allocation of and Indemnity for Taxes</w:t>
      </w:r>
      <w:r>
        <w:rPr>
          <w:rFonts w:cs="Arial" w:ascii="Arial" w:hAnsi="Arial"/>
          <w:sz w:val="20"/>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48</w:t>
      </w:r>
      <w:r>
        <w:rPr>
          <w:sz w:val="20"/>
          <w:rFonts w:cs="Arial" w:ascii="Arial" w:hAnsi="Arial"/>
        </w:rPr>
        <w:fldChar w:fldCharType="end"/>
      </w:r>
      <w:r>
        <w:rPr>
          <w:rFonts w:cs="Arial" w:ascii="Arial" w:hAnsi="Arial"/>
          <w:sz w:val="20"/>
        </w:rPr>
        <w:tab/>
      </w:r>
      <w:r>
        <w:rPr>
          <w:rFonts w:cs="Arial" w:ascii="Arial" w:hAnsi="Arial"/>
          <w:sz w:val="20"/>
          <w:u w:val="single"/>
        </w:rPr>
        <w:t>GST</w:t>
      </w:r>
      <w:r>
        <w:rPr>
          <w:rFonts w:cs="Arial" w:ascii="Arial" w:hAnsi="Arial"/>
          <w:sz w:val="20"/>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49</w:t>
      </w:r>
      <w:r>
        <w:rPr>
          <w:sz w:val="20"/>
          <w:rFonts w:cs="Arial" w:ascii="Arial" w:hAnsi="Arial"/>
        </w:rPr>
        <w:fldChar w:fldCharType="end"/>
      </w:r>
      <w:r>
        <w:rPr>
          <w:rFonts w:cs="Arial" w:ascii="Arial" w:hAnsi="Arial"/>
          <w:sz w:val="20"/>
        </w:rPr>
        <w:tab/>
      </w:r>
      <w:r>
        <w:rPr>
          <w:rFonts w:cs="Arial" w:ascii="Arial" w:hAnsi="Arial"/>
          <w:sz w:val="20"/>
          <w:u w:val="single"/>
        </w:rPr>
        <w:t>New Taxes</w:t>
      </w:r>
      <w:r>
        <w:rPr>
          <w:rFonts w:cs="Arial" w:ascii="Arial" w:hAnsi="Arial"/>
          <w:sz w:val="20"/>
        </w:rPr>
        <w:t>.</w:t>
        <w:tab/>
      </w:r>
    </w:p>
    <w:p>
      <w:pPr>
        <w:pStyle w:val="Heading2"/>
        <w:rPr>
          <w:rFonts w:ascii="Arial" w:hAnsi="Arial" w:cs="Arial"/>
          <w:sz w:val="20"/>
        </w:rPr>
      </w:pPr>
      <w:r>
        <w:rPr>
          <w:rFonts w:cs="Arial" w:ascii="Arial" w:hAnsi="Arial"/>
          <w:sz w:val="20"/>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rFonts w:ascii="Arial" w:hAnsi="Arial" w:cs="Arial"/>
          <w:sz w:val="20"/>
        </w:rPr>
      </w:pPr>
      <w:r>
        <w:rPr>
          <w:rFonts w:cs="Arial" w:ascii="Arial" w:hAnsi="Arial"/>
          <w:sz w:val="20"/>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(30)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(a) if the non-Taxed Party is considered to have incurred a gain on the termination of the New Tax Transaction(s), the non-Taxed Party shall pay one-half of such gain to the Taxed Party; or (b)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50</w:t>
      </w:r>
      <w:r>
        <w:rPr>
          <w:sz w:val="20"/>
          <w:rFonts w:cs="Arial" w:ascii="Arial" w:hAnsi="Arial"/>
        </w:rPr>
        <w:fldChar w:fldCharType="end"/>
      </w:r>
      <w:r>
        <w:rPr>
          <w:rFonts w:cs="Arial" w:ascii="Arial" w:hAnsi="Arial"/>
          <w:sz w:val="20"/>
        </w:rPr>
        <w:tab/>
      </w:r>
      <w:r>
        <w:rPr>
          <w:rFonts w:cs="Arial" w:ascii="Arial" w:hAnsi="Arial"/>
          <w:sz w:val="20"/>
          <w:u w:val="single"/>
        </w:rPr>
        <w:t>Cooperation</w:t>
      </w:r>
      <w:r>
        <w:rPr>
          <w:rFonts w:cs="Arial" w:ascii="Arial" w:hAnsi="Arial"/>
          <w:sz w:val="20"/>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51</w:t>
      </w:r>
      <w:r>
        <w:rPr>
          <w:sz w:val="20"/>
          <w:rFonts w:cs="Arial" w:ascii="Arial" w:hAnsi="Arial"/>
        </w:rPr>
        <w:fldChar w:fldCharType="end"/>
      </w:r>
      <w:r>
        <w:rPr>
          <w:rFonts w:cs="Arial" w:ascii="Arial" w:hAnsi="Arial"/>
          <w:sz w:val="20"/>
        </w:rPr>
        <w:br/>
        <w:t>TRANSPORTATION imbalances</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52</w:t>
      </w:r>
      <w:r>
        <w:rPr>
          <w:sz w:val="20"/>
          <w:rFonts w:cs="Arial" w:ascii="Arial" w:hAnsi="Arial"/>
        </w:rPr>
        <w:fldChar w:fldCharType="end"/>
      </w:r>
      <w:r>
        <w:rPr>
          <w:rFonts w:cs="Arial" w:ascii="Arial" w:hAnsi="Arial"/>
          <w:sz w:val="20"/>
        </w:rPr>
        <w:tab/>
      </w:r>
      <w:r>
        <w:rPr>
          <w:rFonts w:cs="Arial" w:ascii="Arial" w:hAnsi="Arial"/>
          <w:sz w:val="20"/>
          <w:u w:val="single"/>
        </w:rPr>
        <w:t>Correction of Imbalances</w:t>
      </w:r>
      <w:r>
        <w:rPr>
          <w:rFonts w:cs="Arial" w:ascii="Arial" w:hAnsi="Arial"/>
          <w:sz w:val="20"/>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53</w:t>
      </w:r>
      <w:r>
        <w:rPr>
          <w:sz w:val="20"/>
          <w:rFonts w:cs="Arial" w:ascii="Arial" w:hAnsi="Arial"/>
        </w:rPr>
        <w:fldChar w:fldCharType="end"/>
      </w:r>
      <w:r>
        <w:rPr>
          <w:rFonts w:cs="Arial" w:ascii="Arial" w:hAnsi="Arial"/>
          <w:sz w:val="20"/>
        </w:rPr>
        <w:tab/>
      </w:r>
      <w:r>
        <w:rPr>
          <w:rFonts w:cs="Arial" w:ascii="Arial" w:hAnsi="Arial"/>
          <w:sz w:val="20"/>
          <w:u w:val="single"/>
        </w:rPr>
        <w:t>Pipeline Penalties</w:t>
      </w:r>
      <w:r>
        <w:rPr>
          <w:rFonts w:cs="Arial" w:ascii="Arial" w:hAnsi="Arial"/>
          <w:sz w:val="20"/>
        </w:rPr>
        <w:t>.  In the event of (a) an Imbalance on Buyer's Transporter caused by Seller's or Seller's Transporter's delivery of less or more than the quantity which Buyer properly nominated for any Day (in which case Seller shall be deemed to be the “Responsible Party”), or (b)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rFonts w:cs="Arial" w:ascii="Arial" w:hAnsi="Arial"/>
          <w:sz w:val="20"/>
        </w:rPr>
        <w:t xml:space="preserve">ARTICLE </w:t>
      </w: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54</w:t>
      </w:r>
      <w:r>
        <w:rPr>
          <w:sz w:val="20"/>
          <w:rFonts w:cs="Arial" w:ascii="Arial" w:hAnsi="Arial"/>
        </w:rPr>
        <w:fldChar w:fldCharType="end"/>
      </w:r>
      <w:r>
        <w:rPr>
          <w:rFonts w:cs="Arial" w:ascii="Arial" w:hAnsi="Arial"/>
          <w:sz w:val="20"/>
        </w:rPr>
        <w:br/>
        <w:t>MISCELLANEOUS</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55</w:t>
      </w:r>
      <w:r>
        <w:rPr>
          <w:sz w:val="20"/>
          <w:rFonts w:cs="Arial" w:ascii="Arial" w:hAnsi="Arial"/>
        </w:rPr>
        <w:fldChar w:fldCharType="end"/>
      </w:r>
      <w:r>
        <w:rPr>
          <w:rFonts w:cs="Arial" w:ascii="Arial" w:hAnsi="Arial"/>
          <w:sz w:val="20"/>
        </w:rPr>
        <w:tab/>
      </w:r>
      <w:r>
        <w:rPr>
          <w:rFonts w:cs="Arial" w:ascii="Arial" w:hAnsi="Arial"/>
          <w:sz w:val="20"/>
          <w:u w:val="single"/>
        </w:rPr>
        <w:t>Limitation of Liability and Damages</w:t>
      </w:r>
      <w:r>
        <w:rPr>
          <w:rFonts w:cs="Arial" w:ascii="Arial" w:hAnsi="Arial"/>
          <w:sz w:val="20"/>
        </w:rPr>
        <w:t xml:space="preserve">.  The Parties confirm that the express remedies and measures of damages provided in this Agreement satisfy the essential purposes hereof.  For breach of any provision of this Agreement for which an express remedy or measure of damages is provided herein (including, without limitation, pursuant to Sections 6.2, 6.4, 10.1, 10.2 or 10.4 or Article 15 or Section 17.11),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indirect, incidental, exemplary or punitive damages, in tort, contract or otherwise.  To the extent any payment is required to be made pursuant to Sections 6.2, 6.4, 10.1, 10.2 or 10.4 or Article 15 or Section 17.11, the Parties acknowledge that the damages are difficult or impossible to determine and that such payment constitutes liquidated damages as a reasonable estimate of the amount of damages. </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56</w:t>
      </w:r>
      <w:r>
        <w:rPr>
          <w:sz w:val="20"/>
          <w:rFonts w:cs="Arial" w:ascii="Arial" w:hAnsi="Arial"/>
        </w:rPr>
        <w:fldChar w:fldCharType="end"/>
      </w:r>
      <w:r>
        <w:rPr>
          <w:rFonts w:cs="Arial" w:ascii="Arial" w:hAnsi="Arial"/>
          <w:sz w:val="20"/>
        </w:rPr>
        <w:tab/>
      </w:r>
      <w:r>
        <w:rPr>
          <w:rFonts w:cs="Arial" w:ascii="Arial" w:hAnsi="Arial"/>
          <w:sz w:val="20"/>
          <w:u w:val="single"/>
        </w:rPr>
        <w:t>Winding Up Arrangements</w:t>
      </w:r>
      <w:r>
        <w:rPr>
          <w:rFonts w:cs="Arial" w:ascii="Arial" w:hAnsi="Arial"/>
          <w:sz w:val="20"/>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57</w:t>
      </w:r>
      <w:r>
        <w:rPr>
          <w:sz w:val="20"/>
          <w:rFonts w:cs="Arial" w:ascii="Arial" w:hAnsi="Arial"/>
        </w:rPr>
        <w:fldChar w:fldCharType="end"/>
      </w:r>
      <w:r>
        <w:rPr>
          <w:rFonts w:cs="Arial" w:ascii="Arial" w:hAnsi="Arial"/>
          <w:sz w:val="20"/>
        </w:rPr>
        <w:tab/>
      </w:r>
      <w:r>
        <w:rPr>
          <w:rFonts w:cs="Arial" w:ascii="Arial" w:hAnsi="Arial"/>
          <w:sz w:val="20"/>
          <w:u w:val="single"/>
        </w:rPr>
        <w:t>No Implied Warranties</w:t>
      </w:r>
      <w:r>
        <w:rPr>
          <w:rFonts w:cs="Arial" w:ascii="Arial" w:hAnsi="Arial"/>
          <w:sz w:val="20"/>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58</w:t>
      </w:r>
      <w:r>
        <w:rPr>
          <w:sz w:val="20"/>
          <w:rFonts w:cs="Arial" w:ascii="Arial" w:hAnsi="Arial"/>
        </w:rPr>
        <w:fldChar w:fldCharType="end"/>
      </w:r>
      <w:r>
        <w:rPr>
          <w:rFonts w:cs="Arial" w:ascii="Arial" w:hAnsi="Arial"/>
          <w:sz w:val="20"/>
        </w:rPr>
        <w:tab/>
      </w:r>
      <w:r>
        <w:rPr>
          <w:rFonts w:cs="Arial" w:ascii="Arial" w:hAnsi="Arial"/>
          <w:sz w:val="20"/>
          <w:u w:val="single"/>
        </w:rPr>
        <w:t>Indemnification Procedures</w:t>
      </w:r>
      <w:r>
        <w:rPr>
          <w:rFonts w:cs="Arial" w:ascii="Arial" w:hAnsi="Arial"/>
          <w:sz w:val="20"/>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59</w:t>
      </w:r>
      <w:r>
        <w:rPr>
          <w:sz w:val="20"/>
          <w:rFonts w:cs="Arial" w:ascii="Arial" w:hAnsi="Arial"/>
        </w:rPr>
        <w:fldChar w:fldCharType="end"/>
      </w:r>
      <w:r>
        <w:rPr>
          <w:rFonts w:cs="Arial" w:ascii="Arial" w:hAnsi="Arial"/>
          <w:sz w:val="20"/>
        </w:rPr>
        <w:tab/>
      </w:r>
      <w:r>
        <w:rPr>
          <w:rFonts w:cs="Arial" w:ascii="Arial" w:hAnsi="Arial"/>
          <w:sz w:val="20"/>
          <w:u w:val="single"/>
        </w:rPr>
        <w:t>Non-Waiver</w:t>
      </w:r>
      <w:r>
        <w:rPr>
          <w:rFonts w:cs="Arial" w:ascii="Arial" w:hAnsi="Arial"/>
          <w:sz w:val="20"/>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60</w:t>
      </w:r>
      <w:r>
        <w:rPr>
          <w:sz w:val="20"/>
          <w:rFonts w:cs="Arial" w:ascii="Arial" w:hAnsi="Arial"/>
        </w:rPr>
        <w:fldChar w:fldCharType="end"/>
      </w:r>
      <w:r>
        <w:rPr>
          <w:rFonts w:cs="Arial" w:ascii="Arial" w:hAnsi="Arial"/>
          <w:sz w:val="20"/>
        </w:rPr>
        <w:tab/>
      </w:r>
      <w:r>
        <w:rPr>
          <w:rFonts w:cs="Arial" w:ascii="Arial" w:hAnsi="Arial"/>
          <w:sz w:val="20"/>
          <w:u w:val="single"/>
        </w:rPr>
        <w:t>Merged Document</w:t>
      </w:r>
      <w:r>
        <w:rPr>
          <w:rFonts w:cs="Arial" w:ascii="Arial" w:hAnsi="Arial"/>
          <w:sz w:val="20"/>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61</w:t>
      </w:r>
      <w:r>
        <w:rPr>
          <w:sz w:val="20"/>
          <w:rFonts w:cs="Arial" w:ascii="Arial" w:hAnsi="Arial"/>
        </w:rPr>
        <w:fldChar w:fldCharType="end"/>
      </w:r>
      <w:r>
        <w:rPr>
          <w:rFonts w:cs="Arial" w:ascii="Arial" w:hAnsi="Arial"/>
          <w:sz w:val="20"/>
        </w:rPr>
        <w:tab/>
      </w:r>
      <w:r>
        <w:rPr>
          <w:rFonts w:cs="Arial" w:ascii="Arial" w:hAnsi="Arial"/>
          <w:sz w:val="20"/>
          <w:u w:val="single"/>
        </w:rPr>
        <w:t>Exclusion of Third Party Rights</w:t>
      </w:r>
      <w:r>
        <w:rPr>
          <w:rFonts w:cs="Arial" w:ascii="Arial" w:hAnsi="Arial"/>
          <w:sz w:val="20"/>
        </w:rPr>
        <w:t xml:space="preserve">.  The provisions of this Agreement shall not impart rights enforceable by any person, firm or organization not either a Party to this Agreement or a successor or permitted assignee of a Party.  </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62</w:t>
      </w:r>
      <w:r>
        <w:rPr>
          <w:sz w:val="20"/>
          <w:rFonts w:cs="Arial" w:ascii="Arial" w:hAnsi="Arial"/>
        </w:rPr>
        <w:fldChar w:fldCharType="end"/>
      </w:r>
      <w:r>
        <w:rPr>
          <w:rFonts w:cs="Arial" w:ascii="Arial" w:hAnsi="Arial"/>
          <w:sz w:val="20"/>
        </w:rPr>
        <w:tab/>
      </w:r>
      <w:r>
        <w:rPr>
          <w:rFonts w:cs="Arial" w:ascii="Arial" w:hAnsi="Arial"/>
          <w:sz w:val="20"/>
          <w:u w:val="single"/>
        </w:rPr>
        <w:t>Severability</w:t>
      </w:r>
      <w:r>
        <w:rPr>
          <w:rFonts w:cs="Arial" w:ascii="Arial" w:hAnsi="Arial"/>
          <w:sz w:val="20"/>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63</w:t>
      </w:r>
      <w:r>
        <w:rPr>
          <w:sz w:val="20"/>
          <w:rFonts w:cs="Arial" w:ascii="Arial" w:hAnsi="Arial"/>
        </w:rPr>
        <w:fldChar w:fldCharType="end"/>
      </w:r>
      <w:r>
        <w:rPr>
          <w:rFonts w:cs="Arial" w:ascii="Arial" w:hAnsi="Arial"/>
          <w:sz w:val="20"/>
        </w:rPr>
        <w:tab/>
      </w:r>
      <w:r>
        <w:rPr>
          <w:rFonts w:cs="Arial" w:ascii="Arial" w:hAnsi="Arial"/>
          <w:sz w:val="20"/>
          <w:u w:val="single"/>
        </w:rPr>
        <w:t>Headings and Exhibits</w:t>
      </w:r>
      <w:r>
        <w:rPr>
          <w:rFonts w:cs="Arial" w:ascii="Arial" w:hAnsi="Arial"/>
          <w:sz w:val="20"/>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64</w:t>
      </w:r>
      <w:r>
        <w:rPr>
          <w:sz w:val="20"/>
          <w:rFonts w:cs="Arial" w:ascii="Arial" w:hAnsi="Arial"/>
        </w:rPr>
        <w:fldChar w:fldCharType="end"/>
      </w:r>
      <w:r>
        <w:rPr>
          <w:rFonts w:cs="Arial" w:ascii="Arial" w:hAnsi="Arial"/>
          <w:sz w:val="20"/>
        </w:rPr>
        <w:tab/>
      </w:r>
      <w:r>
        <w:rPr>
          <w:rFonts w:cs="Arial" w:ascii="Arial" w:hAnsi="Arial"/>
          <w:sz w:val="20"/>
          <w:u w:val="single"/>
        </w:rPr>
        <w:t>Audit Rights</w:t>
      </w:r>
      <w:r>
        <w:rPr>
          <w:rFonts w:cs="Arial" w:ascii="Arial" w:hAnsi="Arial"/>
          <w:sz w:val="20"/>
        </w:rPr>
        <w:t xml:space="preserve">.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 </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65</w:t>
      </w:r>
      <w:r>
        <w:rPr>
          <w:sz w:val="20"/>
          <w:rFonts w:cs="Arial" w:ascii="Arial" w:hAnsi="Arial"/>
        </w:rPr>
        <w:fldChar w:fldCharType="end"/>
      </w:r>
      <w:r>
        <w:rPr>
          <w:rFonts w:cs="Arial" w:ascii="Arial" w:hAnsi="Arial"/>
          <w:sz w:val="20"/>
        </w:rPr>
        <w:tab/>
      </w:r>
      <w:r>
        <w:rPr>
          <w:rFonts w:cs="Arial" w:ascii="Arial" w:hAnsi="Arial"/>
          <w:sz w:val="20"/>
          <w:u w:val="single"/>
        </w:rPr>
        <w:t>Confidentiality</w:t>
      </w:r>
      <w:r>
        <w:rPr>
          <w:rFonts w:cs="Arial" w:ascii="Arial" w:hAnsi="Arial"/>
          <w:sz w:val="20"/>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exchange rule or to effectuate transportation of Gas hereunder; provided, each Party shall notify the other Party of any proceeding of which it is aware which may result in disclosure and use reasonable efforts to prevent or limit the disclosure.  The provisions of this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17.1. </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66</w:t>
      </w:r>
      <w:r>
        <w:rPr>
          <w:sz w:val="20"/>
          <w:rFonts w:cs="Arial" w:ascii="Arial" w:hAnsi="Arial"/>
        </w:rPr>
        <w:fldChar w:fldCharType="end"/>
      </w:r>
      <w:r>
        <w:rPr>
          <w:rFonts w:cs="Arial" w:ascii="Arial" w:hAnsi="Arial"/>
          <w:sz w:val="20"/>
        </w:rPr>
        <w:tab/>
      </w:r>
      <w:r>
        <w:rPr>
          <w:rFonts w:cs="Arial" w:ascii="Arial" w:hAnsi="Arial"/>
          <w:sz w:val="20"/>
          <w:u w:val="single"/>
        </w:rPr>
        <w:t>Applicable Law</w:t>
      </w:r>
      <w:r>
        <w:rPr>
          <w:rFonts w:cs="Arial" w:ascii="Arial" w:hAnsi="Arial"/>
          <w:sz w:val="20"/>
        </w:rPr>
        <w:t xml:space="preserve">.  This Agreement shall be governed by and construed, enforced, and performed in accordance with the laws in force in the Province of Alberta, without regard to principles of conflicts of law, and each Party hereby submits to the non-exclusive jurisdiction of the courts of the Province of Alberta. </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67</w:t>
      </w:r>
      <w:r>
        <w:rPr>
          <w:sz w:val="20"/>
          <w:rFonts w:cs="Arial" w:ascii="Arial" w:hAnsi="Arial"/>
        </w:rPr>
        <w:fldChar w:fldCharType="end"/>
      </w:r>
      <w:r>
        <w:rPr>
          <w:rFonts w:cs="Arial" w:ascii="Arial" w:hAnsi="Arial"/>
          <w:sz w:val="20"/>
        </w:rPr>
        <w:tab/>
      </w:r>
      <w:r>
        <w:rPr>
          <w:rFonts w:cs="Arial" w:ascii="Arial" w:hAnsi="Arial"/>
          <w:sz w:val="20"/>
          <w:u w:val="single"/>
        </w:rPr>
        <w:t>Eligible Financial Contract</w:t>
      </w:r>
      <w:r>
        <w:rPr>
          <w:rFonts w:cs="Arial" w:ascii="Arial" w:hAnsi="Arial"/>
          <w:sz w:val="20"/>
        </w:rPr>
        <w:t xml:space="preserve">.  This Agreement, all Transactions under this Agreement, and any guarantee thereof by Enron Canada’s Guarantor, each and together constitute an “eligible financial contract” under and in all proceedings related to the </w:t>
      </w:r>
      <w:r>
        <w:rPr>
          <w:rFonts w:cs="Arial" w:ascii="Arial" w:hAnsi="Arial"/>
          <w:i/>
          <w:sz w:val="20"/>
          <w:u w:val="single"/>
        </w:rPr>
        <w:t>Bankruptcy and Insolvency Act</w:t>
      </w:r>
      <w:r>
        <w:rPr>
          <w:rFonts w:cs="Arial" w:ascii="Arial" w:hAnsi="Arial"/>
          <w:sz w:val="20"/>
        </w:rPr>
        <w:t xml:space="preserve"> (Canada)</w:t>
      </w:r>
      <w:r>
        <w:rPr>
          <w:rFonts w:cs="Arial" w:ascii="Arial" w:hAnsi="Arial"/>
          <w:i/>
          <w:sz w:val="20"/>
        </w:rPr>
        <w:t xml:space="preserve">, </w:t>
      </w:r>
      <w:r>
        <w:rPr>
          <w:rFonts w:cs="Arial" w:ascii="Arial" w:hAnsi="Arial"/>
          <w:sz w:val="20"/>
        </w:rPr>
        <w:t xml:space="preserve">the </w:t>
      </w:r>
      <w:r>
        <w:rPr>
          <w:rFonts w:cs="Arial" w:ascii="Arial" w:hAnsi="Arial"/>
          <w:i/>
          <w:sz w:val="20"/>
          <w:u w:val="single"/>
        </w:rPr>
        <w:t>Companies’ Creditors Arrangement Act</w:t>
      </w:r>
      <w:r>
        <w:rPr>
          <w:rFonts w:cs="Arial" w:ascii="Arial" w:hAnsi="Arial"/>
          <w:sz w:val="20"/>
        </w:rPr>
        <w:t xml:space="preserve"> (Canada)</w:t>
      </w:r>
      <w:r>
        <w:rPr>
          <w:rFonts w:cs="Arial" w:ascii="Arial" w:hAnsi="Arial"/>
          <w:i/>
          <w:sz w:val="20"/>
        </w:rPr>
        <w:t xml:space="preserve"> </w:t>
      </w:r>
      <w:r>
        <w:rPr>
          <w:rFonts w:cs="Arial" w:ascii="Arial" w:hAnsi="Arial"/>
          <w:sz w:val="20"/>
        </w:rPr>
        <w:t xml:space="preserve">or the </w:t>
      </w:r>
      <w:r>
        <w:rPr>
          <w:rFonts w:cs="Arial" w:ascii="Arial" w:hAnsi="Arial"/>
          <w:i/>
          <w:sz w:val="20"/>
          <w:u w:val="single"/>
        </w:rPr>
        <w:t>Winding-Up and Restructuring Act</w:t>
      </w:r>
      <w:r>
        <w:rPr>
          <w:rFonts w:cs="Arial" w:ascii="Arial" w:hAnsi="Arial"/>
          <w:sz w:val="20"/>
        </w:rPr>
        <w:t xml:space="preserve"> (Canada),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68</w:t>
      </w:r>
      <w:r>
        <w:rPr>
          <w:sz w:val="20"/>
          <w:rFonts w:cs="Arial" w:ascii="Arial" w:hAnsi="Arial"/>
        </w:rPr>
        <w:fldChar w:fldCharType="end"/>
      </w:r>
      <w:r>
        <w:rPr>
          <w:rFonts w:cs="Arial" w:ascii="Arial" w:hAnsi="Arial"/>
          <w:sz w:val="20"/>
        </w:rPr>
        <w:tab/>
      </w:r>
      <w:r>
        <w:rPr>
          <w:rFonts w:cs="Arial" w:ascii="Arial" w:hAnsi="Arial"/>
          <w:sz w:val="20"/>
          <w:u w:val="single"/>
        </w:rPr>
        <w:t>Further Assurances</w:t>
      </w:r>
      <w:r>
        <w:rPr>
          <w:rFonts w:cs="Arial" w:ascii="Arial" w:hAnsi="Arial"/>
          <w:sz w:val="20"/>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Justified"/>
        <w:ind w:firstLine="720" w:end="0"/>
        <w:rPr/>
      </w:pPr>
      <w:r>
        <w:rPr>
          <w:rFonts w:cs="Arial" w:ascii="Arial" w:hAnsi="Arial"/>
          <w:sz w:val="20"/>
        </w:rPr>
        <w:fldChar w:fldCharType="begin"/>
      </w:r>
      <w:r>
        <w:rPr>
          <w:sz w:val="20"/>
          <w:rFonts w:cs="Arial" w:ascii="Arial" w:hAnsi="Arial"/>
        </w:rPr>
        <w:instrText xml:space="preserve"> SEQ AutoNr \* ARABIC </w:instrText>
      </w:r>
      <w:r>
        <w:rPr>
          <w:sz w:val="20"/>
          <w:rFonts w:cs="Arial" w:ascii="Arial" w:hAnsi="Arial"/>
        </w:rPr>
        <w:fldChar w:fldCharType="separate"/>
      </w:r>
      <w:r>
        <w:rPr>
          <w:sz w:val="20"/>
          <w:rFonts w:cs="Arial" w:ascii="Arial" w:hAnsi="Arial"/>
        </w:rPr>
        <w:t>69</w:t>
      </w:r>
      <w:r>
        <w:rPr>
          <w:sz w:val="20"/>
          <w:rFonts w:cs="Arial" w:ascii="Arial" w:hAnsi="Arial"/>
        </w:rPr>
        <w:fldChar w:fldCharType="end"/>
      </w:r>
      <w:r>
        <w:rPr>
          <w:rFonts w:cs="Arial" w:ascii="Arial" w:hAnsi="Arial"/>
          <w:sz w:val="20"/>
        </w:rPr>
        <w:tab/>
      </w:r>
      <w:r>
        <w:rPr>
          <w:rFonts w:cs="Arial" w:ascii="Arial" w:hAnsi="Arial"/>
          <w:sz w:val="20"/>
          <w:u w:val="single"/>
        </w:rPr>
        <w:t>Prior Master Firm Gas Purchase/Sale Agreement</w:t>
      </w:r>
      <w:r>
        <w:rPr>
          <w:rFonts w:cs="Arial" w:ascii="Arial" w:hAnsi="Arial"/>
          <w:sz w:val="20"/>
        </w:rPr>
        <w:t>.  This Agreement amends, restates, supercedes and replaces in all respects the Prior Master Firm Gas Purchase/Sale Agreement effective as of the Effective Date, with the effect and purpose that, from and after the Effective Date, any and all Transactions outstanding under the Prior Master Firm Gas Purchase/Sale Agreement, as well as any and all Transactions made and entered into from time to time under and pursuant to this Agreement, shall be, and shall be deemed to be, Transactions outstanding under, and subject to the terms and conditions of, this Agreement.</w:t>
      </w:r>
    </w:p>
    <w:p>
      <w:pPr>
        <w:pStyle w:val="Normal"/>
        <w:tabs>
          <w:tab w:val="left" w:pos="720"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left" w:pos="720"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tab/>
        <w:t>IN WITNESS WHEREOF, the Parties have caused this Agreement to be executed in multiple originals effective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jc w:val="both"/>
              <w:rPr>
                <w:rFonts w:ascii="Arial" w:hAnsi="Arial" w:cs="Arial"/>
                <w:b/>
                <w:sz w:val="20"/>
              </w:rPr>
            </w:pPr>
            <w:r>
              <w:rPr>
                <w:rFonts w:cs="Arial" w:ascii="Arial" w:hAnsi="Arial"/>
                <w:b/>
                <w:sz w:val="20"/>
              </w:rPr>
              <w:t>ENRON CANADA CORP.</w:t>
            </w:r>
          </w:p>
        </w:tc>
        <w:tc>
          <w:tcPr>
            <w:tcW w:w="308" w:type="dxa"/>
            <w:tcBorders/>
          </w:tcPr>
          <w:p>
            <w:pPr>
              <w:pStyle w:val="Normal"/>
              <w:snapToGrid w:val="false"/>
              <w:jc w:val="both"/>
              <w:rPr>
                <w:rFonts w:ascii="Arial" w:hAnsi="Arial" w:cs="Arial"/>
                <w:b/>
                <w:sz w:val="20"/>
              </w:rPr>
            </w:pPr>
            <w:r>
              <w:rPr>
                <w:rFonts w:cs="Arial" w:ascii="Arial" w:hAnsi="Arial"/>
                <w:b/>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jc w:val="end"/>
              <w:rPr>
                <w:rFonts w:ascii="Arial" w:hAnsi="Arial" w:cs="Arial"/>
                <w:sz w:val="20"/>
              </w:rPr>
            </w:pPr>
            <w:r>
              <w:rPr>
                <w:rFonts w:cs="Arial" w:ascii="Arial" w:hAnsi="Arial"/>
                <w:sz w:val="20"/>
              </w:rPr>
              <w:t>Per:</w:t>
            </w:r>
          </w:p>
        </w:tc>
        <w:tc>
          <w:tcPr>
            <w:tcW w:w="5490" w:type="dxa"/>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snapToGrid w:val="false"/>
              <w:jc w:val="both"/>
              <w:rPr>
                <w:rFonts w:ascii="Arial" w:hAnsi="Arial" w:cs="Arial"/>
                <w:sz w:val="20"/>
                <w:u w:val="single"/>
              </w:rPr>
            </w:pPr>
            <w:r>
              <w:rPr>
                <w:rFonts w:cs="Arial" w:ascii="Arial" w:hAnsi="Arial"/>
                <w:sz w:val="20"/>
                <w:u w:val="single"/>
              </w:rPr>
            </w:r>
          </w:p>
        </w:tc>
      </w:tr>
      <w:tr>
        <w:trPr/>
        <w:tc>
          <w:tcPr>
            <w:tcW w:w="1728" w:type="dxa"/>
            <w:tcBorders/>
          </w:tcPr>
          <w:p>
            <w:pPr>
              <w:pStyle w:val="Normal"/>
              <w:jc w:val="end"/>
              <w:rPr>
                <w:rFonts w:ascii="Arial" w:hAnsi="Arial" w:cs="Arial"/>
                <w:sz w:val="20"/>
              </w:rPr>
            </w:pPr>
            <w:r>
              <w:rPr>
                <w:rFonts w:cs="Arial" w:ascii="Arial" w:hAnsi="Arial"/>
                <w:sz w:val="20"/>
              </w:rPr>
              <w:t>Name Printed:</w:t>
            </w:r>
          </w:p>
        </w:tc>
        <w:tc>
          <w:tcPr>
            <w:tcW w:w="5490" w:type="dxa"/>
            <w:tcBorders>
              <w:top w:val="single" w:sz="6" w:space="0" w:color="000000"/>
            </w:tcBorders>
          </w:tcPr>
          <w:p>
            <w:pPr>
              <w:pStyle w:val="Normal"/>
              <w:jc w:val="both"/>
              <w:rPr>
                <w:rFonts w:ascii="Arial" w:hAnsi="Arial" w:cs="Arial"/>
                <w:sz w:val="20"/>
              </w:rPr>
            </w:pPr>
            <w:r>
              <w:rPr>
                <w:rFonts w:cs="Arial" w:ascii="Arial" w:hAnsi="Arial"/>
                <w:sz w:val="20"/>
              </w:rPr>
              <w:t>Rob Milnthorp</w:t>
            </w:r>
          </w:p>
        </w:tc>
        <w:tc>
          <w:tcPr>
            <w:tcW w:w="308" w:type="dxa"/>
            <w:tcBorders/>
          </w:tcPr>
          <w:p>
            <w:pPr>
              <w:pStyle w:val="Normal"/>
              <w:jc w:val="both"/>
              <w:rPr>
                <w:rFonts w:ascii="Arial" w:hAnsi="Arial" w:eastAsia="Arial" w:cs="Arial"/>
                <w:sz w:val="20"/>
              </w:rPr>
            </w:pPr>
            <w:r>
              <w:rPr>
                <w:rFonts w:eastAsia="Arial" w:cs="Arial" w:ascii="Arial" w:hAnsi="Arial"/>
                <w:sz w:val="20"/>
              </w:rPr>
              <w:t xml:space="preserve">  </w:t>
            </w:r>
          </w:p>
        </w:tc>
      </w:tr>
      <w:tr>
        <w:trPr/>
        <w:tc>
          <w:tcPr>
            <w:tcW w:w="1728" w:type="dxa"/>
            <w:tcBorders/>
          </w:tcPr>
          <w:p>
            <w:pPr>
              <w:pStyle w:val="Normal"/>
              <w:jc w:val="end"/>
              <w:rPr>
                <w:rFonts w:ascii="Arial" w:hAnsi="Arial" w:cs="Arial"/>
                <w:sz w:val="20"/>
              </w:rPr>
            </w:pPr>
            <w:r>
              <w:rPr>
                <w:rFonts w:cs="Arial" w:ascii="Arial" w:hAnsi="Arial"/>
                <w:sz w:val="20"/>
              </w:rPr>
              <w:t>Title:</w:t>
            </w:r>
          </w:p>
        </w:tc>
        <w:tc>
          <w:tcPr>
            <w:tcW w:w="5490" w:type="dxa"/>
            <w:tcBorders/>
          </w:tcPr>
          <w:p>
            <w:pPr>
              <w:pStyle w:val="Normal"/>
              <w:jc w:val="both"/>
              <w:rPr>
                <w:rFonts w:ascii="Arial" w:hAnsi="Arial" w:cs="Arial"/>
                <w:sz w:val="20"/>
              </w:rPr>
            </w:pPr>
            <w:r>
              <w:rPr>
                <w:rFonts w:cs="Arial" w:ascii="Arial" w:hAnsi="Arial"/>
                <w:color w:val="0000FF"/>
                <w:sz w:val="20"/>
              </w:rPr>
              <w:t>Vice President</w:t>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u w:val="single"/>
              </w:rPr>
            </w:pPr>
            <w:r>
              <w:rPr>
                <w:rFonts w:cs="Arial" w:ascii="Arial" w:hAnsi="Arial"/>
                <w:sz w:val="20"/>
                <w:u w:val="single"/>
              </w:rPr>
            </w:r>
          </w:p>
        </w:tc>
        <w:tc>
          <w:tcPr>
            <w:tcW w:w="5490" w:type="dxa"/>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jc w:val="both"/>
              <w:rPr>
                <w:rFonts w:ascii="Arial" w:hAnsi="Arial" w:cs="Arial"/>
                <w:b/>
                <w:caps/>
                <w:sz w:val="20"/>
              </w:rPr>
            </w:pPr>
            <w:r>
              <w:rPr>
                <w:rFonts w:cs="Arial" w:ascii="Arial" w:hAnsi="Arial"/>
                <w:b/>
                <w:color w:val="0000FF"/>
                <w:sz w:val="20"/>
              </w:rPr>
              <w:t>CANADIAN NATURAL RESOURCES, by its General Partner, CANADIAN NATURAL RESOURCES LIMITED</w:t>
            </w:r>
          </w:p>
        </w:tc>
        <w:tc>
          <w:tcPr>
            <w:tcW w:w="308" w:type="dxa"/>
            <w:tcBorders/>
          </w:tcPr>
          <w:p>
            <w:pPr>
              <w:pStyle w:val="Normal"/>
              <w:snapToGrid w:val="false"/>
              <w:jc w:val="both"/>
              <w:rPr>
                <w:rFonts w:ascii="Arial" w:hAnsi="Arial" w:cs="Arial"/>
                <w:b/>
                <w:caps/>
                <w:sz w:val="20"/>
              </w:rPr>
            </w:pPr>
            <w:r>
              <w:rPr>
                <w:rFonts w:cs="Arial" w:ascii="Arial" w:hAnsi="Arial"/>
                <w:b/>
                <w:caps/>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jc w:val="end"/>
              <w:rPr>
                <w:rFonts w:ascii="Arial" w:hAnsi="Arial" w:cs="Arial"/>
                <w:sz w:val="20"/>
              </w:rPr>
            </w:pPr>
            <w:r>
              <w:rPr>
                <w:rFonts w:cs="Arial" w:ascii="Arial" w:hAnsi="Arial"/>
                <w:sz w:val="20"/>
              </w:rPr>
              <w:t>Per:</w:t>
            </w:r>
          </w:p>
        </w:tc>
        <w:tc>
          <w:tcPr>
            <w:tcW w:w="5490" w:type="dxa"/>
            <w:tcBorders>
              <w:bottom w:val="single" w:sz="6" w:space="0" w:color="000000"/>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snapToGrid w:val="false"/>
              <w:jc w:val="both"/>
              <w:rPr>
                <w:rFonts w:ascii="Arial" w:hAnsi="Arial" w:cs="Arial"/>
                <w:sz w:val="20"/>
                <w:u w:val="single"/>
              </w:rPr>
            </w:pPr>
            <w:r>
              <w:rPr>
                <w:rFonts w:cs="Arial" w:ascii="Arial" w:hAnsi="Arial"/>
                <w:sz w:val="20"/>
                <w:u w:val="single"/>
              </w:rPr>
            </w:r>
          </w:p>
        </w:tc>
      </w:tr>
      <w:tr>
        <w:trPr/>
        <w:tc>
          <w:tcPr>
            <w:tcW w:w="1728" w:type="dxa"/>
            <w:tcBorders/>
          </w:tcPr>
          <w:p>
            <w:pPr>
              <w:pStyle w:val="Normal"/>
              <w:jc w:val="end"/>
              <w:rPr>
                <w:rFonts w:ascii="Arial" w:hAnsi="Arial" w:cs="Arial"/>
                <w:sz w:val="20"/>
              </w:rPr>
            </w:pPr>
            <w:r>
              <w:rPr>
                <w:rFonts w:cs="Arial" w:ascii="Arial" w:hAnsi="Arial"/>
                <w:sz w:val="20"/>
              </w:rPr>
              <w:t>Name Printed:</w:t>
            </w:r>
          </w:p>
        </w:tc>
        <w:tc>
          <w:tcPr>
            <w:tcW w:w="5490" w:type="dxa"/>
            <w:tcBorders/>
          </w:tcPr>
          <w:p>
            <w:pPr>
              <w:pStyle w:val="Normal"/>
              <w:jc w:val="both"/>
              <w:rPr>
                <w:rFonts w:ascii="Arial" w:hAnsi="Arial" w:cs="Arial"/>
                <w:sz w:val="20"/>
              </w:rPr>
            </w:pPr>
            <w:r>
              <w:rPr>
                <w:rFonts w:cs="Arial" w:ascii="Arial" w:hAnsi="Arial"/>
                <w:sz w:val="20"/>
              </w:rPr>
              <w:t>Réal Cusson</w:t>
            </w:r>
          </w:p>
        </w:tc>
        <w:tc>
          <w:tcPr>
            <w:tcW w:w="308" w:type="dxa"/>
            <w:tcBorders/>
          </w:tcPr>
          <w:p>
            <w:pPr>
              <w:pStyle w:val="Normal"/>
              <w:jc w:val="both"/>
              <w:rPr>
                <w:rFonts w:ascii="Arial" w:hAnsi="Arial" w:eastAsia="Arial" w:cs="Arial"/>
                <w:sz w:val="20"/>
              </w:rPr>
            </w:pPr>
            <w:r>
              <w:rPr>
                <w:rFonts w:eastAsia="Arial" w:cs="Arial" w:ascii="Arial" w:hAnsi="Arial"/>
                <w:sz w:val="20"/>
              </w:rPr>
              <w:t xml:space="preserve">  </w:t>
            </w:r>
          </w:p>
        </w:tc>
      </w:tr>
      <w:tr>
        <w:trPr/>
        <w:tc>
          <w:tcPr>
            <w:tcW w:w="1728" w:type="dxa"/>
            <w:tcBorders/>
          </w:tcPr>
          <w:p>
            <w:pPr>
              <w:pStyle w:val="Normal"/>
              <w:jc w:val="end"/>
              <w:rPr>
                <w:rFonts w:ascii="Arial" w:hAnsi="Arial" w:cs="Arial"/>
                <w:sz w:val="20"/>
              </w:rPr>
            </w:pPr>
            <w:r>
              <w:rPr>
                <w:rFonts w:cs="Arial" w:ascii="Arial" w:hAnsi="Arial"/>
                <w:sz w:val="20"/>
              </w:rPr>
              <w:t>Title:</w:t>
            </w:r>
          </w:p>
        </w:tc>
        <w:tc>
          <w:tcPr>
            <w:tcW w:w="5490" w:type="dxa"/>
            <w:tcBorders/>
          </w:tcPr>
          <w:p>
            <w:pPr>
              <w:pStyle w:val="Normal"/>
              <w:jc w:val="both"/>
              <w:rPr>
                <w:rFonts w:ascii="Arial" w:hAnsi="Arial" w:cs="Arial"/>
                <w:sz w:val="20"/>
              </w:rPr>
            </w:pPr>
            <w:r>
              <w:rPr>
                <w:rFonts w:cs="Arial" w:ascii="Arial" w:hAnsi="Arial"/>
                <w:sz w:val="20"/>
              </w:rPr>
              <w:t>Vice President, Marketing</w:t>
            </w:r>
          </w:p>
        </w:tc>
        <w:tc>
          <w:tcPr>
            <w:tcW w:w="308" w:type="dxa"/>
            <w:tcBorders/>
          </w:tcPr>
          <w:p>
            <w:pPr>
              <w:pStyle w:val="Normal"/>
              <w:snapToGrid w:val="false"/>
              <w:jc w:val="both"/>
              <w:rPr>
                <w:rFonts w:ascii="Arial" w:hAnsi="Arial" w:cs="Arial"/>
                <w:sz w:val="20"/>
              </w:rPr>
            </w:pPr>
            <w:r>
              <w:rPr>
                <w:rFonts w:cs="Arial" w:ascii="Arial" w:hAnsi="Arial"/>
                <w:sz w:val="20"/>
              </w:rPr>
            </w:r>
          </w:p>
        </w:tc>
      </w:tr>
    </w:tbl>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720" w:end="720"/>
        <w:jc w:val="both"/>
        <w:rPr>
          <w:rFonts w:ascii="Arial" w:hAnsi="Arial" w:cs="Arial"/>
          <w:sz w:val="20"/>
        </w:rPr>
      </w:pPr>
      <w:r>
        <w:rPr>
          <w:rFonts w:cs="Arial" w:ascii="Arial" w:hAnsi="Arial"/>
          <w:sz w:val="20"/>
        </w:rPr>
      </w:r>
    </w:p>
    <w:p>
      <w:pPr>
        <w:pStyle w:val="Normal"/>
        <w:ind w:start="720" w:end="720"/>
        <w:jc w:val="center"/>
        <w:rPr>
          <w:rFonts w:ascii="Arial" w:hAnsi="Arial" w:cs="Arial"/>
          <w:b/>
          <w:caps/>
          <w:sz w:val="20"/>
        </w:rPr>
      </w:pPr>
      <w:r>
        <w:rPr>
          <w:rFonts w:cs="Arial" w:ascii="Arial" w:hAnsi="Arial"/>
          <w:b/>
          <w:caps/>
          <w:sz w:val="20"/>
        </w:rPr>
        <w:t>EXHIBIT “A” TO AMENDED AND RESTATED MASTER FIRM GAS PURCHASE/SALE AGREEMENT BETWEEN ENRON CANADA CORP. AND</w:t>
      </w:r>
    </w:p>
    <w:p>
      <w:pPr>
        <w:pStyle w:val="Normal"/>
        <w:ind w:start="720" w:end="720"/>
        <w:jc w:val="center"/>
        <w:rPr/>
      </w:pPr>
      <w:r>
        <w:rPr>
          <w:rFonts w:cs="Arial" w:ascii="Arial" w:hAnsi="Arial"/>
          <w:b/>
          <w:caps/>
          <w:color w:val="0000FF"/>
          <w:sz w:val="20"/>
        </w:rPr>
        <w:t>CANADIAN NATURAL RESOURCES</w:t>
      </w:r>
      <w:r>
        <w:rPr>
          <w:rFonts w:cs="Arial" w:ascii="Arial" w:hAnsi="Arial"/>
          <w:b/>
          <w:caps/>
          <w:sz w:val="20"/>
        </w:rPr>
        <w:t xml:space="preserve"> DATED </w:t>
      </w:r>
      <w:r>
        <w:rPr>
          <w:rFonts w:cs="Arial" w:ascii="Arial" w:hAnsi="Arial"/>
          <w:b/>
          <w:caps/>
          <w:color w:val="0000FF"/>
          <w:sz w:val="20"/>
        </w:rPr>
        <w:t>FEBRUARY 15, 2000</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caps/>
          <w:color w:val="0000FF"/>
          <w:sz w:val="20"/>
          <w:u w:val="single"/>
        </w:rPr>
      </w:pPr>
      <w:r>
        <w:rPr>
          <w:rFonts w:cs="Arial" w:ascii="Arial" w:hAnsi="Arial"/>
          <w:b/>
          <w:caps/>
          <w:color w:val="0000FF"/>
          <w:sz w:val="20"/>
          <w:u w:val="single"/>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u w:val="single"/>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rFonts w:ascii="Arial" w:hAnsi="Arial" w:cs="Arial"/>
                <w:b/>
                <w:sz w:val="20"/>
              </w:rPr>
            </w:pPr>
            <w:r>
              <w:rPr>
                <w:rFonts w:cs="Arial" w:ascii="Arial" w:hAnsi="Arial"/>
                <w:sz w:val="20"/>
              </w:rPr>
              <w:t>NOTICES TO ENRON CANADA:</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rPr>
                <w:rFonts w:ascii="Arial" w:hAnsi="Arial" w:cs="Arial"/>
                <w:sz w:val="20"/>
              </w:rPr>
            </w:pPr>
            <w:r>
              <w:rPr>
                <w:rFonts w:cs="Arial" w:ascii="Arial" w:hAnsi="Arial"/>
                <w:sz w:val="20"/>
              </w:rPr>
              <w:t>NOTICES TO CUSTOMER:</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Enron Canada Corp.</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color w:val="0000FF"/>
                <w:sz w:val="20"/>
              </w:rPr>
            </w:pPr>
            <w:r>
              <w:rPr>
                <w:rFonts w:cs="Arial" w:ascii="Arial" w:hAnsi="Arial"/>
                <w:color w:val="0000FF"/>
                <w:sz w:val="20"/>
              </w:rPr>
              <w:t>Canadian Natural Resources</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pPr>
            <w:r>
              <w:rPr>
                <w:rFonts w:cs="Arial" w:ascii="Arial" w:hAnsi="Arial"/>
                <w:color w:val="0000FF"/>
                <w:sz w:val="20"/>
              </w:rPr>
              <w:t>2000, 425 – 1</w:t>
            </w:r>
            <w:r>
              <w:rPr>
                <w:rFonts w:cs="Arial" w:ascii="Arial" w:hAnsi="Arial"/>
                <w:color w:val="0000FF"/>
                <w:sz w:val="20"/>
                <w:vertAlign w:val="superscript"/>
              </w:rPr>
              <w:t>st</w:t>
            </w:r>
            <w:r>
              <w:rPr>
                <w:rFonts w:cs="Arial" w:ascii="Arial" w:hAnsi="Arial"/>
                <w:color w:val="0000FF"/>
                <w:sz w:val="20"/>
              </w:rPr>
              <w:t xml:space="preserve"> Street S.W.</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 xml:space="preserve">400 - 3rd Avenue S.W. </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color w:val="0000FF"/>
                <w:sz w:val="20"/>
              </w:rPr>
            </w:pPr>
            <w:r>
              <w:rPr>
                <w:rFonts w:cs="Arial" w:ascii="Arial" w:hAnsi="Arial"/>
                <w:color w:val="0000FF"/>
                <w:sz w:val="20"/>
              </w:rPr>
              <w:t>Calgary, Alberta</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color w:val="0000FF"/>
                <w:sz w:val="20"/>
              </w:rPr>
            </w:pPr>
            <w:r>
              <w:rPr>
                <w:rFonts w:cs="Arial" w:ascii="Arial" w:hAnsi="Arial"/>
                <w:color w:val="0000FF"/>
                <w:sz w:val="20"/>
              </w:rPr>
              <w:t>T2P 3L8</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Attn:  Corporate Secretary</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color w:val="0000FF"/>
                <w:sz w:val="20"/>
              </w:rPr>
            </w:pPr>
            <w:r>
              <w:rPr>
                <w:rFonts w:cs="Arial" w:ascii="Arial" w:hAnsi="Arial"/>
                <w:color w:val="0000FF"/>
                <w:sz w:val="20"/>
              </w:rPr>
              <w:t>Attn.: Vice President, Marketing</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Facsimile No. (403) 974-6707</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color w:val="0000FF"/>
                <w:sz w:val="20"/>
              </w:rPr>
            </w:pPr>
            <w:r>
              <w:rPr>
                <w:rFonts w:cs="Arial" w:ascii="Arial" w:hAnsi="Arial"/>
                <w:color w:val="0000FF"/>
                <w:sz w:val="20"/>
              </w:rPr>
              <w:t>Facsimile No.  (403) 233-7395</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cs="Arial"/>
                <w:b/>
                <w:color w:val="0000FF"/>
                <w:sz w:val="20"/>
              </w:rPr>
            </w:pPr>
            <w:r>
              <w:rPr>
                <w:rFonts w:cs="Arial" w:ascii="Arial" w:hAnsi="Arial"/>
                <w:b/>
                <w:color w:val="0000FF"/>
                <w:sz w:val="20"/>
              </w:rPr>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napToGrid w:val="false"/>
              <w:spacing w:lineRule="atLeast" w:line="240"/>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PAYMENTS TO ENRON CANADA:</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PAYMENTS TO CUSTOMER</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If by Wire Transfer, to:</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If by Wire Transfer, to:</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The Toronto-Dominion Bank</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Commercial Banking Centre</w:t>
            </w:r>
          </w:p>
        </w:tc>
        <w:tc>
          <w:tcPr>
            <w:tcW w:w="654" w:type="dxa"/>
            <w:tcBorders/>
          </w:tcPr>
          <w:p>
            <w:pPr>
              <w:pStyle w:val="Normal"/>
              <w:tabs>
                <w:tab w:val="clear" w:pos="720"/>
                <w:tab w:val="center" w:pos="4680" w:leader="none"/>
              </w:tabs>
              <w:snapToGrid w:val="false"/>
              <w:spacing w:lineRule="atLeast" w:line="240"/>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2 Calgary Place, 340 - 5th Avenue S.W.</w:t>
            </w:r>
          </w:p>
        </w:tc>
        <w:tc>
          <w:tcPr>
            <w:tcW w:w="654" w:type="dxa"/>
            <w:tcBorders/>
          </w:tcPr>
          <w:p>
            <w:pPr>
              <w:pStyle w:val="Normal"/>
              <w:tabs>
                <w:tab w:val="clear" w:pos="720"/>
                <w:tab w:val="center" w:pos="4680" w:leader="none"/>
              </w:tabs>
              <w:snapToGrid w:val="false"/>
              <w:spacing w:lineRule="atLeast" w:line="240"/>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Calgary, Alberta</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Bank #004 Branch #80609</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Bank #                Branch #</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Account No. 0805 0465537</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Account No.</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Telephone:  (403) 292-1100</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 xml:space="preserve">Telephone:  </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Rapifax:  (403) 292-1217</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napToGrid w:val="false"/>
              <w:spacing w:lineRule="atLeast" w:line="240"/>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BILLING AND ACCOUNTING</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 xml:space="preserve">BILLING AND ACCOUNTING </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MATTERS</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MATTERS</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TO ENRON CANADA:</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TO CUSTOMER:</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Enron Canada Corp.</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Canadian Natural Resources</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pPr>
            <w:r>
              <w:rPr>
                <w:rFonts w:cs="Arial" w:ascii="Arial" w:hAnsi="Arial"/>
                <w:sz w:val="20"/>
              </w:rPr>
              <w:t>2000, 425 – 1</w:t>
            </w:r>
            <w:r>
              <w:rPr>
                <w:rFonts w:cs="Arial" w:ascii="Arial" w:hAnsi="Arial"/>
                <w:sz w:val="20"/>
                <w:vertAlign w:val="superscript"/>
              </w:rPr>
              <w:t>st</w:t>
            </w:r>
            <w:r>
              <w:rPr>
                <w:rFonts w:cs="Arial" w:ascii="Arial" w:hAnsi="Arial"/>
                <w:sz w:val="20"/>
              </w:rPr>
              <w:t xml:space="preserve"> Street S.W.</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400 - 3rd Avenue S.W.</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 xml:space="preserve">Calgary, Alberta </w:t>
            </w:r>
          </w:p>
        </w:tc>
      </w:tr>
      <w:tr>
        <w:trPr/>
        <w:tc>
          <w:tcPr>
            <w:tcW w:w="4767"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cs="Arial"/>
                <w:sz w:val="20"/>
              </w:rPr>
            </w:pPr>
            <w:r>
              <w:rPr>
                <w:rFonts w:cs="Arial" w:ascii="Arial" w:hAnsi="Arial"/>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T2P 3L8</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Attn: Manager, Accounting</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Attn:</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Facsimile No. (403) 974-6795</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op w:val="single" w:sz="6" w:space="0" w:color="000000"/>
              <w:bottom w:val="single" w:sz="6" w:space="0" w:color="000000"/>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Facsimile No.</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napToGrid w:val="false"/>
              <w:spacing w:lineRule="atLeast" w:line="240"/>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NOMINATIONS AND CONFIRMATIONS TO ENRON CANADA:</w:t>
            </w:r>
          </w:p>
        </w:tc>
        <w:tc>
          <w:tcPr>
            <w:tcW w:w="654" w:type="dxa"/>
            <w:tcBorders/>
          </w:tcPr>
          <w:p>
            <w:pPr>
              <w:pStyle w:val="Normal"/>
              <w:tabs>
                <w:tab w:val="clear" w:pos="720"/>
                <w:tab w:val="center" w:pos="4680" w:leader="none"/>
              </w:tabs>
              <w:snapToGrid w:val="false"/>
              <w:spacing w:lineRule="atLeast" w:line="240"/>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pacing w:lineRule="atLeast" w:line="240"/>
              <w:rPr>
                <w:rFonts w:ascii="Arial" w:hAnsi="Arial" w:cs="Arial"/>
                <w:sz w:val="20"/>
              </w:rPr>
            </w:pPr>
            <w:r>
              <w:rPr>
                <w:rFonts w:cs="Arial" w:ascii="Arial" w:hAnsi="Arial"/>
                <w:sz w:val="20"/>
              </w:rPr>
              <w:t>NOMINATIONS AND CONFIRMATIONS TO CUSTOMER:</w:t>
            </w:r>
          </w:p>
        </w:tc>
      </w:tr>
      <w:tr>
        <w:trPr/>
        <w:tc>
          <w:tcPr>
            <w:tcW w:w="4767" w:type="dxa"/>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Attn:  Operations Coordinator</w:t>
            </w:r>
          </w:p>
        </w:tc>
        <w:tc>
          <w:tcPr>
            <w:tcW w:w="654" w:type="dxa"/>
            <w:tcBorders/>
          </w:tcPr>
          <w:p>
            <w:pPr>
              <w:pStyle w:val="Normal"/>
              <w:tabs>
                <w:tab w:val="clear" w:pos="720"/>
                <w:tab w:val="center" w:pos="4680" w:leader="none"/>
              </w:tabs>
              <w:snapToGrid w:val="false"/>
              <w:spacing w:lineRule="atLeast" w:line="240"/>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Attn:</w:t>
            </w:r>
          </w:p>
        </w:tc>
      </w:tr>
      <w:tr>
        <w:trPr/>
        <w:tc>
          <w:tcPr>
            <w:tcW w:w="4767" w:type="dxa"/>
            <w:tcBorders/>
          </w:tcPr>
          <w:p>
            <w:pPr>
              <w:pStyle w:val="Normal"/>
              <w:tabs>
                <w:tab w:val="clear" w:pos="720"/>
                <w:tab w:val="center" w:pos="4680" w:leader="none"/>
              </w:tabs>
              <w:spacing w:lineRule="atLeast" w:line="240"/>
              <w:jc w:val="both"/>
              <w:rPr>
                <w:rFonts w:ascii="Arial" w:hAnsi="Arial" w:cs="Arial"/>
                <w:b/>
                <w:sz w:val="20"/>
              </w:rPr>
            </w:pPr>
            <w:r>
              <w:rPr>
                <w:rFonts w:cs="Arial" w:ascii="Arial" w:hAnsi="Arial"/>
                <w:sz w:val="20"/>
              </w:rPr>
              <w:t>Facsimile No. (403) 974-6706</w:t>
            </w:r>
          </w:p>
        </w:tc>
        <w:tc>
          <w:tcPr>
            <w:tcW w:w="654" w:type="dxa"/>
            <w:tcBorders/>
          </w:tcPr>
          <w:p>
            <w:pPr>
              <w:pStyle w:val="Normal"/>
              <w:tabs>
                <w:tab w:val="clear" w:pos="720"/>
                <w:tab w:val="center" w:pos="4680" w:leader="none"/>
              </w:tabs>
              <w:snapToGrid w:val="false"/>
              <w:spacing w:lineRule="atLeast" w:line="240"/>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sz w:val="20"/>
              </w:rPr>
            </w:pPr>
            <w:r>
              <w:rPr>
                <w:rFonts w:cs="Arial" w:ascii="Arial" w:hAnsi="Arial"/>
                <w:sz w:val="20"/>
              </w:rPr>
              <w:t>Facsimile No.</w:t>
            </w:r>
          </w:p>
        </w:tc>
      </w:tr>
    </w:tbl>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p>
      <w:pPr>
        <w:pStyle w:val="Normal"/>
        <w:ind w:start="720" w:end="720"/>
        <w:jc w:val="center"/>
        <w:rPr>
          <w:rFonts w:ascii="Arial" w:hAnsi="Arial" w:cs="Arial"/>
          <w:b/>
          <w:caps/>
          <w:sz w:val="20"/>
        </w:rPr>
      </w:pPr>
      <w:r>
        <w:rPr>
          <w:rFonts w:cs="Arial" w:ascii="Arial" w:hAnsi="Arial"/>
          <w:b/>
          <w:caps/>
          <w:sz w:val="20"/>
        </w:rPr>
        <w:t>EXHIBIT “B” TO AMENDED AND RESTATED MASTER FIRM GAS PURCHASE/SALE AGREEMENT BETWEEN ENRON CANADA CORP. AND</w:t>
      </w:r>
    </w:p>
    <w:p>
      <w:pPr>
        <w:pStyle w:val="Normal"/>
        <w:ind w:start="720" w:end="720"/>
        <w:jc w:val="center"/>
        <w:rPr/>
      </w:pPr>
      <w:r>
        <w:rPr>
          <w:rFonts w:eastAsia="Arial" w:cs="Arial" w:ascii="Arial" w:hAnsi="Arial"/>
          <w:b/>
          <w:caps/>
          <w:sz w:val="20"/>
        </w:rPr>
        <w:t xml:space="preserve"> </w:t>
      </w:r>
      <w:r>
        <w:rPr>
          <w:rFonts w:cs="Arial" w:ascii="Arial" w:hAnsi="Arial"/>
          <w:b/>
          <w:caps/>
          <w:color w:val="0000FF"/>
          <w:sz w:val="20"/>
        </w:rPr>
        <w:t>CANADIAN NATURAL RESOURCES</w:t>
      </w:r>
      <w:r>
        <w:rPr>
          <w:rFonts w:cs="Arial" w:ascii="Arial" w:hAnsi="Arial"/>
          <w:b/>
          <w:caps/>
          <w:sz w:val="20"/>
        </w:rPr>
        <w:t xml:space="preserve"> DATED </w:t>
      </w:r>
      <w:r>
        <w:rPr>
          <w:rFonts w:cs="Arial" w:ascii="Arial" w:hAnsi="Arial"/>
          <w:b/>
          <w:caps/>
          <w:color w:val="0000FF"/>
          <w:sz w:val="20"/>
        </w:rPr>
        <w:t>FEBRUARY 15, 2000</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caps/>
          <w:color w:val="0000FF"/>
          <w:sz w:val="20"/>
        </w:rPr>
      </w:pPr>
      <w:r>
        <w:rPr>
          <w:rFonts w:cs="Arial" w:ascii="Arial" w:hAnsi="Arial"/>
          <w:b/>
          <w:caps/>
          <w:color w:val="0000FF"/>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u w:val="single"/>
        </w:rPr>
        <w:t>FORM OF CONFIRMATION LETTER</w:t>
      </w:r>
    </w:p>
    <w:p>
      <w:pPr>
        <w:pStyle w:val="Normal"/>
        <w:tabs>
          <w:tab w:val="clear" w:pos="720"/>
          <w:tab w:val="left" w:pos="1440" w:leader="none"/>
          <w:tab w:val="left" w:pos="2160" w:leader="none"/>
          <w:tab w:val="right" w:pos="9360" w:leader="none"/>
        </w:tabs>
        <w:jc w:val="both"/>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right" w:pos="9360" w:leader="none"/>
        </w:tabs>
        <w:jc w:val="end"/>
        <w:rPr>
          <w:rFonts w:ascii="Arial" w:hAnsi="Arial" w:cs="Arial"/>
          <w:sz w:val="20"/>
        </w:rPr>
      </w:pPr>
      <w:r>
        <w:rPr>
          <w:rFonts w:cs="Arial" w:ascii="Arial" w:hAnsi="Arial"/>
          <w:sz w:val="20"/>
        </w:rPr>
        <w:t>[DATE]</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sz w:val="20"/>
        </w:rPr>
      </w:pPr>
      <w:r>
        <w:rPr>
          <w:rFonts w:cs="Arial" w:ascii="Arial" w:hAnsi="Arial"/>
          <w:color w:val="0000FF"/>
          <w:sz w:val="20"/>
        </w:rPr>
        <w:t>Canadian Natural Resources</w:t>
      </w:r>
    </w:p>
    <w:p>
      <w:pPr>
        <w:pStyle w:val="Normal"/>
        <w:tabs>
          <w:tab w:val="clear" w:pos="720"/>
          <w:tab w:val="left" w:pos="1440" w:leader="none"/>
          <w:tab w:val="left" w:pos="2160" w:leader="none"/>
          <w:tab w:val="left" w:pos="5280" w:leader="none"/>
          <w:tab w:val="left" w:pos="5472" w:leader="none"/>
          <w:tab w:val="left" w:pos="6480" w:leader="none"/>
        </w:tabs>
        <w:jc w:val="both"/>
        <w:rPr/>
      </w:pPr>
      <w:r>
        <w:rPr>
          <w:rFonts w:cs="Arial" w:ascii="Arial" w:hAnsi="Arial"/>
          <w:color w:val="0000FF"/>
          <w:sz w:val="20"/>
        </w:rPr>
        <w:t>2000, 425 – 1</w:t>
      </w:r>
      <w:r>
        <w:rPr>
          <w:rFonts w:cs="Arial" w:ascii="Arial" w:hAnsi="Arial"/>
          <w:color w:val="0000FF"/>
          <w:sz w:val="20"/>
          <w:vertAlign w:val="superscript"/>
        </w:rPr>
        <w:t>st</w:t>
      </w:r>
      <w:r>
        <w:rPr>
          <w:rFonts w:cs="Arial" w:ascii="Arial" w:hAnsi="Arial"/>
          <w:color w:val="0000FF"/>
          <w:sz w:val="20"/>
        </w:rPr>
        <w:t xml:space="preserve"> Street S.W.</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sz w:val="20"/>
        </w:rPr>
      </w:pPr>
      <w:r>
        <w:rPr>
          <w:rFonts w:cs="Arial" w:ascii="Arial" w:hAnsi="Arial"/>
          <w:color w:val="0000FF"/>
          <w:sz w:val="20"/>
        </w:rPr>
        <w:t>Calgary, Alberta  T2P 3L8</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sz w:val="20"/>
        </w:rPr>
      </w:pPr>
      <w:r>
        <w:rPr>
          <w:rFonts w:cs="Arial" w:ascii="Arial" w:hAnsi="Arial"/>
          <w:color w:val="0000FF"/>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sz w:val="20"/>
        </w:rPr>
      </w:pPr>
      <w:r>
        <w:rPr>
          <w:rFonts w:cs="Arial" w:ascii="Arial" w:hAnsi="Arial"/>
          <w:b/>
          <w:sz w:val="20"/>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sz w:val="20"/>
        </w:rPr>
        <w:tab/>
        <w:t xml:space="preserve">This Confirmation Letter confirms the verbal agreement reached on ______________, 199__ (the “Effective Time”), between </w:t>
      </w:r>
      <w:r>
        <w:rPr>
          <w:rFonts w:cs="Arial" w:ascii="Arial" w:hAnsi="Arial"/>
          <w:color w:val="0000FF"/>
          <w:sz w:val="20"/>
        </w:rPr>
        <w:t>Canadian Natural Resources</w:t>
      </w:r>
      <w:r>
        <w:rPr>
          <w:rFonts w:cs="Arial" w:ascii="Arial" w:hAnsi="Arial"/>
          <w:sz w:val="20"/>
        </w:rPr>
        <w:t xml:space="preserve"> (“Customer”) and Enron Canada Corp. (“Enron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PERIOD OF DELIVERY:</w:t>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OTHER TERMS:</w:t>
            </w:r>
          </w:p>
        </w:tc>
        <w:tc>
          <w:tcPr>
            <w:tcW w:w="5007" w:type="dxa"/>
            <w:tcBorders>
              <w:top w:val="single" w:sz="6" w:space="0" w:color="000000"/>
              <w:bottom w:val="single" w:sz="2"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sz w:val="20"/>
        </w:rPr>
        <w:tab/>
        <w:t xml:space="preserve">This Confirmation Letter is being provided pursuant to the Amended and Restated Master Firm Gas Purchase/Sale Agreement dated </w:t>
      </w:r>
      <w:r>
        <w:rPr>
          <w:rFonts w:cs="Arial" w:ascii="Arial" w:hAnsi="Arial"/>
          <w:color w:val="0000FF"/>
          <w:sz w:val="20"/>
        </w:rPr>
        <w:t>February 15, 2000</w:t>
      </w:r>
      <w:r>
        <w:rPr>
          <w:rFonts w:cs="Arial" w:ascii="Arial" w:hAnsi="Arial"/>
          <w:sz w:val="20"/>
        </w:rPr>
        <w:t xml:space="preserve"> (the “Amended and Restated Master Agreement”), between Customer and Enron Canada, and constitutes part of and is subject to all of the terms and provisions of the Amended and Restated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tab/>
        <w:t xml:space="preserve">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sz w:val="20"/>
              </w:rPr>
            </w:pPr>
            <w:r>
              <w:rPr>
                <w:rFonts w:cs="Arial" w:ascii="Arial" w:hAnsi="Arial"/>
                <w:sz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b/>
                <w:sz w:val="20"/>
              </w:rPr>
            </w:pPr>
            <w:r>
              <w:rPr>
                <w:rFonts w:cs="Arial" w:ascii="Arial" w:hAnsi="Arial"/>
                <w:b/>
                <w:sz w:val="20"/>
              </w:rPr>
              <w:t>ENRON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b/>
                <w:sz w:val="20"/>
              </w:rPr>
            </w:pPr>
            <w:r>
              <w:rPr>
                <w:rFonts w:cs="Arial" w:ascii="Arial" w:hAnsi="Arial"/>
                <w:b/>
                <w:sz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sz w:val="20"/>
              </w:rPr>
            </w:pPr>
            <w:r>
              <w:rPr>
                <w:rFonts w:cs="Arial" w:ascii="Arial" w:hAnsi="Arial"/>
                <w:sz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Per:</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Title:</w:t>
            </w:r>
          </w:p>
        </w:tc>
        <w:tc>
          <w:tcPr>
            <w:tcW w:w="5148" w:type="dxa"/>
            <w:tcBorders>
              <w:top w:val="single" w:sz="6" w:space="0" w:color="000000"/>
              <w:bottom w:val="single" w:sz="2"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sz w:val="20"/>
        </w:rPr>
      </w:pPr>
      <w:r>
        <w:rPr>
          <w:rFonts w:cs="Arial" w:ascii="Arial" w:hAnsi="Arial"/>
          <w:sz w:val="20"/>
        </w:rPr>
      </w:r>
    </w:p>
    <w:p>
      <w:pPr>
        <w:pStyle w:val="Normal"/>
        <w:tabs>
          <w:tab w:val="clear" w:pos="720"/>
          <w:tab w:val="left" w:pos="-1440" w:leader="none"/>
          <w:tab w:val="left" w:pos="-720" w:leader="none"/>
        </w:tabs>
        <w:spacing w:lineRule="atLeast" w:line="300" w:before="0" w:after="60"/>
        <w:ind w:hanging="4320" w:start="4320" w:end="0"/>
        <w:jc w:val="end"/>
        <w:rPr>
          <w:rFonts w:ascii="Arial" w:hAnsi="Arial" w:cs="Arial"/>
          <w:sz w:val="20"/>
        </w:rPr>
      </w:pPr>
      <w:r>
        <w:rPr>
          <w:rFonts w:cs="Arial" w:ascii="Arial" w:hAnsi="Arial"/>
          <w:sz w:val="20"/>
        </w:rPr>
        <w:t xml:space="preserve">Accepted and agreed effective as of the Effective Time.  </w:t>
      </w:r>
    </w:p>
    <w:p>
      <w:pPr>
        <w:pStyle w:val="Normal"/>
        <w:tabs>
          <w:tab w:val="clear" w:pos="720"/>
          <w:tab w:val="left" w:pos="-1440" w:leader="none"/>
          <w:tab w:val="left" w:pos="-720" w:leader="none"/>
        </w:tabs>
        <w:spacing w:lineRule="atLeast" w:line="300" w:before="0" w:after="60"/>
        <w:ind w:hanging="4320" w:start="4320" w:end="0"/>
        <w:jc w:val="both"/>
        <w:rPr>
          <w:rFonts w:ascii="Arial" w:hAnsi="Arial" w:cs="Arial"/>
          <w:sz w:val="20"/>
        </w:rPr>
      </w:pPr>
      <w:r>
        <w:rPr>
          <w:rFonts w:cs="Arial" w:ascii="Arial" w:hAnsi="Arial"/>
          <w:sz w:val="20"/>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sz w:val="20"/>
              </w:rPr>
            </w:pPr>
            <w:r>
              <w:rPr>
                <w:rFonts w:cs="Arial" w:ascii="Arial" w:hAnsi="Arial"/>
                <w:sz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rFonts w:ascii="Arial" w:hAnsi="Arial" w:cs="Arial"/>
                <w:b/>
                <w:sz w:val="20"/>
              </w:rPr>
            </w:pPr>
            <w:r>
              <w:rPr>
                <w:rFonts w:cs="Arial" w:ascii="Arial" w:hAnsi="Arial"/>
                <w:b/>
                <w:color w:val="0000FF"/>
                <w:sz w:val="20"/>
              </w:rPr>
              <w:t>CANADIAN NATURAL RESOURCES, by its General Partner, CANADIAN NATURAL RESOURCES LIMITED</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b/>
                <w:sz w:val="20"/>
              </w:rPr>
            </w:pPr>
            <w:r>
              <w:rPr>
                <w:rFonts w:cs="Arial" w:ascii="Arial" w:hAnsi="Arial"/>
                <w:b/>
                <w:sz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sz w:val="20"/>
              </w:rPr>
            </w:pPr>
            <w:r>
              <w:rPr>
                <w:rFonts w:cs="Arial" w:ascii="Arial" w:hAnsi="Arial"/>
                <w:sz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sz w:val="20"/>
              </w:rPr>
            </w:pPr>
            <w:r>
              <w:rPr>
                <w:rFonts w:cs="Arial" w:ascii="Arial" w:hAnsi="Arial"/>
                <w:sz w:val="20"/>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sz w:val="20"/>
              </w:rPr>
            </w:pPr>
            <w:r>
              <w:rPr>
                <w:rFonts w:cs="Arial" w:ascii="Arial" w:hAnsi="Arial"/>
                <w:sz w:val="20"/>
              </w:rPr>
            </w:r>
          </w:p>
        </w:tc>
      </w:tr>
    </w:tbl>
    <w:p>
      <w:pPr>
        <w:sectPr>
          <w:headerReference w:type="default" r:id="rId16"/>
          <w:headerReference w:type="first" r:id="rId17"/>
          <w:footerReference w:type="default" r:id="rId18"/>
          <w:footerReference w:type="first" r:id="rId19"/>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rPr>
          <w:rFonts w:ascii="Arial" w:hAnsi="Arial" w:cs="Arial"/>
          <w:sz w:val="20"/>
        </w:rPr>
      </w:pPr>
      <w:r>
        <w:rPr>
          <w:rFonts w:cs="Arial" w:ascii="Arial" w:hAnsi="Arial"/>
          <w:sz w:val="20"/>
        </w:rPr>
      </w:r>
    </w:p>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CG Times (W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585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cnrl61c.Master.Amended_Restated.clean.doc</w:t>
    </w:r>
    <w:r>
      <w:rPr>
        <w:sz w:val="16"/>
        <w:rFonts w:cs="Arial" w:ascii="Arial" w:hAnsi="Arial"/>
      </w:rPr>
      <w:fldChar w:fldCharType="end"/>
    </w:r>
    <w:r>
      <w:rPr>
        <w:rFonts w:cs="Arial" w:ascii="Arial" w:hAnsi="Arial"/>
        <w:sz w:val="16"/>
      </w:rPr>
      <w:tab/>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cnrl61c.Master.Amended_Restated.clean.doc</w:t>
    </w:r>
    <w:r>
      <w:rPr>
        <w:sz w:val="16"/>
        <w:rFonts w:cs="Arial" w:ascii="Arial" w:hAnsi="Arial"/>
      </w:rPr>
      <w:fldChar w:fldCharType="end"/>
    </w:r>
    <w:r>
      <w:rPr>
        <w:rFonts w:cs="Arial" w:ascii="Arial" w:hAnsi="Arial"/>
        <w:sz w:val="16"/>
      </w:rPr>
      <w:tab/>
      <w:t>Rider A</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5490" w:leader="none"/>
        <w:tab w:val="left" w:pos="684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cnrl61c.Master.Amended_Restated.clean.doc</w:t>
    </w:r>
    <w:r>
      <w:rPr>
        <w:sz w:val="16"/>
        <w:rFonts w:cs="Arial" w:ascii="Arial" w:hAnsi="Arial"/>
      </w:rPr>
      <w:fldChar w:fldCharType="end"/>
    </w:r>
    <w:r>
      <w:rPr>
        <w:rFonts w:cs="Arial" w:ascii="Arial" w:hAnsi="Arial"/>
        <w:sz w:val="16"/>
      </w:rPr>
      <w:tab/>
      <w:t>i.</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585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cnrl61c.Master.Amended_Restated.clean.doc</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19</w:t>
    </w:r>
    <w:r>
      <w:rPr>
        <w:sz w:val="16"/>
        <w:rFonts w:cs="Arial" w:ascii="Arial" w:hAnsi="Arial"/>
      </w:rPr>
      <w:fldChar w:fldCharType="end"/>
    </w:r>
    <w:r>
      <w:rPr>
        <w:rFonts w:cs="Arial" w:ascii="Arial" w:hAnsi="Arial"/>
        <w:sz w:val="16"/>
      </w:rPr>
      <w:t>.</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5310" w:leader="none"/>
      </w:tabs>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cnrl61c.Master.Amended_Restated.clean.doc</w:t>
    </w:r>
    <w:r>
      <w:rPr>
        <w:sz w:val="16"/>
        <w:rFonts w:cs="Arial" w:ascii="Arial" w:hAnsi="Arial"/>
      </w:rPr>
      <w:fldChar w:fldCharType="end"/>
    </w:r>
    <w:r>
      <w:rPr>
        <w:rFonts w:cs="Arial" w:ascii="Arial" w:hAnsi="Arial"/>
        <w:sz w:val="16"/>
      </w:rPr>
      <w:tab/>
      <w:t xml:space="preserve">Exhibit “A” - 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5130" w:leader="none"/>
      </w:tabs>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cnrl61c.Master.Amended_Restated.clean.doc</w:t>
    </w:r>
    <w:r>
      <w:rPr>
        <w:sz w:val="16"/>
        <w:rFonts w:cs="Arial" w:ascii="Arial" w:hAnsi="Arial"/>
      </w:rPr>
      <w:fldChar w:fldCharType="end"/>
    </w:r>
    <w:r>
      <w:rPr>
        <w:rFonts w:cs="Arial" w:ascii="Arial" w:hAnsi="Arial"/>
        <w:sz w:val="16"/>
      </w:rPr>
      <w:tab/>
      <w:t>Exhibit “B”</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5400" w:leader="none"/>
      </w:tabs>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cnrl61c.Master.Amended_Restated.clean.doc</w:t>
    </w:r>
    <w:r>
      <w:rPr>
        <w:sz w:val="16"/>
        <w:rFonts w:cs="Arial" w:ascii="Arial" w:hAnsi="Arial"/>
      </w:rPr>
      <w:fldChar w:fldCharType="end"/>
    </w:r>
    <w:r>
      <w:rPr>
        <w:rFonts w:cs="Arial" w:ascii="Arial" w:hAnsi="Arial"/>
        <w:sz w:val="16"/>
      </w:rPr>
      <w:tab/>
      <w:t>Exhibit “B”</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Exhibit “B”</w:t>
    </w:r>
  </w:p>
  <w:p>
    <w:pPr>
      <w:pStyle w:val="Header"/>
      <w:rPr>
        <w:rFonts w:ascii="Arial" w:hAnsi="Arial" w:cs="Arial"/>
        <w:sz w:val="20"/>
      </w:rPr>
    </w:pPr>
    <w:r>
      <w:rPr>
        <w:rFonts w:cs="Arial" w:ascii="Arial" w:hAnsi="Arial"/>
        <w:sz w:val="20"/>
      </w:rPr>
      <w:t>Form of Confirmation Letter</w:t>
    </w:r>
  </w:p>
  <w:p>
    <w:pPr>
      <w:pStyle w:val="Header"/>
      <w:rPr>
        <w:rFonts w:ascii="Arial" w:hAnsi="Arial" w:cs="Arial"/>
        <w:sz w:val="20"/>
      </w:rPr>
    </w:pPr>
    <w:r>
      <w:rPr>
        <w:rFonts w:cs="Arial" w:ascii="Arial" w:hAnsi="Arial"/>
        <w:sz w:val="20"/>
      </w:rPr>
      <w:t xml:space="preserve">Page </w:t>
    </w:r>
    <w:r>
      <w:rPr>
        <w:rFonts w:cs="Arial" w:ascii="Arial" w:hAnsi="Arial"/>
        <w:sz w:val="20"/>
      </w:rPr>
      <w:fldChar w:fldCharType="begin"/>
    </w:r>
    <w:r>
      <w:rPr>
        <w:sz w:val="20"/>
        <w:rFonts w:cs="Arial" w:ascii="Arial" w:hAnsi="Arial"/>
      </w:rPr>
      <w:instrText xml:space="preserve"> PAGE </w:instrText>
    </w:r>
    <w:r>
      <w:rPr>
        <w:sz w:val="20"/>
        <w:rFonts w:cs="Arial" w:ascii="Arial" w:hAnsi="Arial"/>
      </w:rPr>
      <w:fldChar w:fldCharType="separate"/>
    </w:r>
    <w:r>
      <w:rPr>
        <w:sz w:val="20"/>
        <w:rFonts w:cs="Arial" w:ascii="Arial" w:hAnsi="Arial"/>
      </w:rPr>
      <w:t>2</w:t>
    </w:r>
    <w:r>
      <w:rPr>
        <w:sz w:val="20"/>
        <w:rFonts w:cs="Arial" w:ascii="Arial" w:hAnsi="Arial"/>
      </w:rPr>
      <w:fldChar w:fldCharType="end"/>
    </w:r>
  </w:p>
  <w:p>
    <w:pPr>
      <w:pStyle w:val="Header"/>
      <w:rPr>
        <w:rFonts w:ascii="Arial" w:hAnsi="Arial" w:cs="Arial"/>
        <w:sz w:val="20"/>
      </w:rPr>
    </w:pPr>
    <w:r>
      <w:rPr>
        <w:rFonts w:cs="Arial" w:ascii="Arial" w:hAnsi="Arial"/>
        <w:sz w:val="20"/>
      </w:rPr>
      <w:t>______________________</w:t>
    </w:r>
  </w:p>
  <w:p>
    <w:pPr>
      <w:pStyle w:val="Normal"/>
      <w:tabs>
        <w:tab w:val="clear" w:pos="720"/>
        <w:tab w:val="center" w:pos="4680" w:leader="none"/>
        <w:tab w:val="right" w:pos="9360" w:leader="none"/>
      </w:tabs>
      <w:jc w:val="both"/>
      <w:rPr>
        <w:rFonts w:ascii="Arial" w:hAnsi="Arial" w:cs="Arial"/>
        <w:sz w:val="20"/>
      </w:rPr>
    </w:pPr>
    <w:r>
      <w:rPr>
        <w:rFonts w:cs="Arial" w:ascii="Arial" w:hAnsi="Arial"/>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720"/>
        </w:tabs>
        <w:ind w:start="720" w:hanging="360"/>
      </w:pPr>
      <w:rPr>
        <w:sz w:val="20"/>
        <w:i w:val="false"/>
        <w:u w:val="none"/>
        <w:b w:val="false"/>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Times New Roman" w:cs="Univers (W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imes New Roman" w:hAnsi="Times New Roman" w:cs="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New Roman" w:hAnsi="Times New Roman" w:cs="Times New Roman"/>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680" w:leader="none"/>
      </w:tabs>
      <w:jc w:val="end"/>
      <w:outlineLvl w:val="3"/>
    </w:pPr>
    <w:rPr>
      <w:rFonts w:ascii="Arial" w:hAnsi="Arial" w:cs="Arial"/>
      <w:b/>
      <w:color w:val="0000FF"/>
      <w:sz w:val="20"/>
    </w:rPr>
  </w:style>
  <w:style w:type="paragraph" w:styleId="Heading5">
    <w:name w:val="heading 5"/>
    <w:basedOn w:val="Normal"/>
    <w:next w:val="Normal"/>
    <w:qFormat/>
    <w:pPr>
      <w:keepNext w:val="true"/>
      <w:numPr>
        <w:ilvl w:val="4"/>
        <w:numId w:val="1"/>
      </w:numPr>
      <w:tabs>
        <w:tab w:val="clear" w:pos="720"/>
        <w:tab w:val="left" w:pos="4680" w:leader="none"/>
      </w:tabs>
      <w:jc w:val="end"/>
      <w:outlineLvl w:val="4"/>
    </w:pPr>
    <w:rPr>
      <w:rFonts w:ascii="Arial" w:hAnsi="Arial" w:cs="Arial"/>
      <w:b/>
      <w:i/>
      <w:color w:val="0000FF"/>
      <w:sz w:val="20"/>
    </w:rPr>
  </w:style>
  <w:style w:type="paragraph" w:styleId="Heading6">
    <w:name w:val="heading 6"/>
    <w:basedOn w:val="Normal"/>
    <w:next w:val="BodyText"/>
    <w:qFormat/>
    <w:pPr>
      <w:numPr>
        <w:ilvl w:val="5"/>
        <w:numId w:val="1"/>
      </w:numPr>
      <w:spacing w:before="0" w:after="120"/>
      <w:ind w:hanging="0" w:start="1440" w:end="720"/>
      <w:jc w:val="both"/>
      <w:outlineLvl w:val="5"/>
    </w:pPr>
    <w:rPr>
      <w:rFonts w:ascii="Times New Roman" w:hAnsi="Times New Roman" w:cs="Times New Roman"/>
      <w:sz w:val="26"/>
    </w:rPr>
  </w:style>
  <w:style w:type="paragraph" w:styleId="Heading7">
    <w:name w:val="heading 7"/>
    <w:basedOn w:val="Normal"/>
    <w:next w:val="BodyText"/>
    <w:qFormat/>
    <w:pPr>
      <w:numPr>
        <w:ilvl w:val="6"/>
        <w:numId w:val="1"/>
      </w:numPr>
      <w:spacing w:before="0" w:after="120"/>
      <w:ind w:hanging="720" w:start="2880" w:end="720"/>
      <w:jc w:val="both"/>
      <w:outlineLvl w:val="6"/>
    </w:pPr>
    <w:rPr>
      <w:rFonts w:ascii="Times New Roman" w:hAnsi="Times New Roman" w:cs="Times New Roman"/>
      <w:sz w:val="26"/>
    </w:rPr>
  </w:style>
  <w:style w:type="character" w:styleId="WW8Num1z0">
    <w:name w:val="WW8Num1z0"/>
    <w:qFormat/>
    <w:rPr>
      <w:rFonts w:ascii="Arial" w:hAnsi="Arial" w:cs="Arial"/>
      <w:b w:val="false"/>
      <w:i w:val="false"/>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rPr>
  </w:style>
  <w:style w:type="paragraph" w:styleId="Justified">
    <w:name w:val="Justified"/>
    <w:basedOn w:val="Normal"/>
    <w:next w:val="Heading2"/>
    <w:qFormat/>
    <w:pPr>
      <w:spacing w:before="0" w:after="120"/>
      <w:jc w:val="both"/>
    </w:pPr>
    <w:rPr>
      <w:rFonts w:ascii="Times New Roman" w:hAnsi="Times New Roman" w:cs="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6"/>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2000-02-04T15:35:00Z</dcterms:created>
  <dc:creator>ncappel</dc:creator>
  <dc:description/>
  <dc:language>en-CA</dc:language>
  <cp:lastModifiedBy>ncappel</cp:lastModifiedBy>
  <cp:lastPrinted>2000-02-17T09:28:00Z</cp:lastPrinted>
  <dcterms:modified xsi:type="dcterms:W3CDTF">2000-02-17T13:59:00Z</dcterms:modified>
  <cp:revision>5</cp:revision>
  <dc:subject/>
  <dc:title>Reference No.:  _________</dc:title>
</cp:coreProperties>
</file>