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star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PROJECT GHOST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CLOSING CHECKLIST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I.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The Parties</w:t>
      </w:r>
      <w:r>
        <w:rPr>
          <w:rFonts w:ascii="Times New Roman" w:hAnsi="Times New Roman"/>
          <w:b/>
          <w:sz w:val="24"/>
        </w:rPr>
        <w:t>: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Enron</w:t>
        <w:tab/>
        <w:tab/>
        <w:tab/>
        <w:tab/>
        <w:t>Enron Corp.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ECI</w:t>
        <w:tab/>
        <w:tab/>
        <w:tab/>
        <w:tab/>
        <w:t>Enron Communications, Inc.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WTC</w:t>
        <w:tab/>
        <w:tab/>
        <w:tab/>
        <w:tab/>
        <w:t>Wilmington Trust Company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Trust</w:t>
        <w:tab/>
        <w:tab/>
        <w:tab/>
        <w:tab/>
        <w:t>G-Future Interest Owner Trust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G-Present</w:t>
        <w:tab/>
        <w:tab/>
        <w:tab/>
        <w:t>G-Present, L.L.C.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G-Future</w:t>
        <w:tab/>
        <w:tab/>
        <w:tab/>
        <w:t>G-Future, L.L.C.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G-Past</w:t>
        <w:tab/>
        <w:tab/>
        <w:tab/>
        <w:tab/>
        <w:t>G-Past, L.L.C.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spacing w:lineRule="atLeast" w:line="0"/>
        <w:ind w:hanging="2880" w:start="360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Lenders</w:t>
        <w:tab/>
        <w:tab/>
        <w:tab/>
        <w:t>CIBC Inc., First Union National Bank, ABN Amro Bank N.V. ,National Australia Bank Limited and [Paribas]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CIBC</w:t>
        <w:tab/>
        <w:tab/>
        <w:tab/>
        <w:tab/>
        <w:t>Canadian Imperial Bank of Commerce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  <w:tab/>
      </w:r>
      <w:r>
        <w:rPr>
          <w:rFonts w:ascii="Times New Roman" w:hAnsi="Times New Roman"/>
          <w:b/>
          <w:sz w:val="24"/>
          <w:u w:val="single"/>
        </w:rPr>
        <w:t>G-FUTURE INTEREST OWNER TRUST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792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809"/>
        <w:gridCol w:w="6571"/>
        <w:gridCol w:w="2412"/>
      </w:tblGrid>
      <w:tr>
        <w:trPr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Document Description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Parties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Business Trust of the Trust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Good Standing and Existence of the Trust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WTC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Officer’s Certificate of WTC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Trust Agreement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WTC, CIBC [Inc.]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Reimbursement and Disclosure Agreement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Beneficial Ownership issued to CIBC [Inc.]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</w:t>
            </w:r>
          </w:p>
        </w:tc>
      </w:tr>
      <w:tr>
        <w:trPr>
          <w:trHeight w:val="403" w:hRule="atLeast"/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III.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FACILITY AGREEMENT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Facility Agreement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WTC, Lenders, CIBC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Funding and Indemnity Agreement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CIBC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(a) Note in the original amount of $[                                    ] payable to CIBC Inc.</w:t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(b) Note in the original amount of $[                                    ] payable to First Union National Bank</w:t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(c) Note in the original amount of $[                                    ] payable to ABN Amro Bank N.V.</w:t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(d) Note in the original amount of $[                                    ] payable to National Australia Bank Limited</w:t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[(e) Note in the original amount of $[                                    ] payable to</w:t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Paribas]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WTC</w:t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WTC</w:t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WTC</w:t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WTC</w:t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WTC</w:t>
            </w:r>
          </w:p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Swap Confirmation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WTC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123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Swap Schedule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WTC</w:t>
            </w:r>
          </w:p>
        </w:tc>
      </w:tr>
      <w:tr>
        <w:trPr>
          <w:trHeight w:val="403" w:hRule="atLeast"/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keepNext w:val="true"/>
              <w:tabs>
                <w:tab w:val="left" w:pos="720" w:leader="none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IV.</w:t>
              <w:tab/>
              <w:t>LLC AGREEMENTS AND RELATED DOCUMENTS</w:t>
            </w:r>
          </w:p>
          <w:p>
            <w:pPr>
              <w:pStyle w:val="Normal"/>
              <w:keepNext w:val="true"/>
              <w:tabs>
                <w:tab w:val="left" w:pos="720" w:leader="none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keepNext w:val="true"/>
              <w:tabs>
                <w:tab w:val="left" w:pos="720" w:leader="none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13.                  Put Option Agreement</w:t>
            </w:r>
          </w:p>
          <w:p>
            <w:pPr>
              <w:pStyle w:val="Normal"/>
              <w:keepNext w:val="true"/>
              <w:tabs>
                <w:tab w:val="left" w:pos="720" w:leader="none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keepNext w:val="true"/>
              <w:tabs>
                <w:tab w:val="left" w:pos="720" w:leader="none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14.                  Assignment of right to exercise Put Option</w:t>
            </w:r>
          </w:p>
          <w:p>
            <w:pPr>
              <w:pStyle w:val="Normal"/>
              <w:keepNext w:val="true"/>
              <w:tabs>
                <w:tab w:val="left" w:pos="720" w:leader="none"/>
              </w:tabs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keepNext w:val="true"/>
              <w:tabs>
                <w:tab w:val="left" w:pos="720" w:leader="none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 xml:space="preserve">15.                  Notice of Assignment 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ECI, G-Past</w:t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G-Past, Trust</w:t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G-Past, ECI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Amended and Restated Limited Liability Company Operating Agreement of G-Past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ECI, G-Present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Amended and Restated Limited Liability Company Agreement of G-Present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ECI, G-Future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Amended and Restated Limited Liability Company Agreement of G-Future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ECI, WTC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Independent Auctioneer Letter Agreement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CIBC, Enron</w:t>
            </w:r>
          </w:p>
        </w:tc>
      </w:tr>
      <w:tr>
        <w:trPr>
          <w:trHeight w:val="403" w:hRule="atLeast"/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tabs>
                <w:tab w:val="left" w:pos="720" w:leader="none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V.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CORPORATE DOCUMENTS OF ENRON AND ITS SUBSIDIARIES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Secretary of Enron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of Enron issued by the Secretary of State of Oregon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Authority of Enron issued by the Secretary of State of Texas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Account Status of Enron issued by the Comptroller of Public Accounts of Texas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 of G-Past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G-Past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 of G-Present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G-Present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 of G-Future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G-Future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of ECI issued by the Secretary of State of [Delaware]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6571" w:type="dxa"/>
            <w:tcBorders/>
          </w:tcPr>
          <w:p>
            <w:pPr>
              <w:pStyle w:val="Normal"/>
              <w:keepNext w:val="true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Good Standing of ECI issued by the Secretary of State of [Delaware]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VI.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OPINIONS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Prickett, Jones, Elliott &amp;Kristol, as special Delaware counsel to G-Past, G-Present and G-Future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Senior Vice President and General Counsel of Enron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WTC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Richard, Layton &amp; Finger, as counsel to the Trust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03" w:hRule="atLeast"/>
          <w:cantSplit w:val="true"/>
        </w:trPr>
        <w:tc>
          <w:tcPr>
            <w:tcW w:w="80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657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General Opinion of Andrews &amp; Kurth, L.L.P., as special counsel to Enron, ECI G-Past, G-Present and G-Future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1920" w:bottom="19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DAL:221124.1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DAL:221124.1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123">
    <w:name w:val="1, 2, 3,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