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Bookman Old Style" w:hAnsi="Bookman Old Style" w:cs="Bookman Old Style"/>
          <w:sz w:val="24"/>
        </w:rPr>
      </w:pPr>
      <w:r>
        <w:rPr>
          <w:rFonts w:cs="Bookman Old Style" w:ascii="Bookman Old Style" w:hAnsi="Bookman Old Style"/>
          <w:sz w:val="24"/>
        </w:rPr>
        <w:t>BRAZIL TRENDS – ABRIL - 2000</w:t>
      </w:r>
    </w:p>
    <w:p>
      <w:pPr>
        <w:pStyle w:val="Heading1"/>
        <w:ind w:hanging="0" w:start="0"/>
        <w:jc w:val="both"/>
        <w:rPr>
          <w:rFonts w:ascii="Bookman Old Style" w:hAnsi="Bookman Old Style" w:cs="Bookman Old Style"/>
          <w:b w:val="false"/>
          <w:i/>
          <w:i/>
          <w:sz w:val="24"/>
        </w:rPr>
      </w:pPr>
      <w:r>
        <w:rPr>
          <w:rFonts w:cs="Bookman Old Style" w:ascii="Bookman Old Style" w:hAnsi="Bookman Old Style"/>
          <w:b w:val="false"/>
          <w:i/>
          <w:sz w:val="24"/>
        </w:rPr>
      </w:r>
    </w:p>
    <w:p>
      <w:pPr>
        <w:pStyle w:val="Heading1"/>
        <w:ind w:hanging="0" w:start="0"/>
        <w:jc w:val="both"/>
        <w:rPr>
          <w:rFonts w:ascii="Bookman Old Style" w:hAnsi="Bookman Old Style" w:cs="Bookman Old Style"/>
        </w:rPr>
      </w:pPr>
      <w:r>
        <w:rPr>
          <w:rFonts w:cs="Bookman Old Style" w:ascii="Bookman Old Style" w:hAnsi="Bookman Old Style"/>
        </w:rPr>
        <w:t>Sumário Executivo</w:t>
      </w:r>
    </w:p>
    <w:p>
      <w:pPr>
        <w:pStyle w:val="Normal"/>
        <w:jc w:val="both"/>
        <w:rPr>
          <w:rFonts w:ascii="Bookman Old Style" w:hAnsi="Bookman Old Style" w:cs="Bookman Old Style"/>
        </w:rPr>
      </w:pPr>
      <w:r>
        <w:rPr>
          <w:rFonts w:cs="Bookman Old Style" w:ascii="Bookman Old Style" w:hAnsi="Bookman Old Style"/>
        </w:rPr>
      </w:r>
    </w:p>
    <w:p>
      <w:pPr>
        <w:pStyle w:val="Normal"/>
        <w:numPr>
          <w:ilvl w:val="0"/>
          <w:numId w:val="5"/>
        </w:numPr>
        <w:jc w:val="both"/>
        <w:rPr/>
      </w:pPr>
      <w:r>
        <w:rPr/>
        <w:t>A se confirmarem os indicadores de recuperação da atividade econômica -- inclusive do consumo doméstico, da estabilidade inflacionária e da retomada da trajetória de queda dos juros, é bastante razoável supor que a imagem do governo federal se beneficie desse ambiente macroeconômico mais positivo</w:t>
      </w:r>
    </w:p>
    <w:p>
      <w:pPr>
        <w:pStyle w:val="Normal"/>
        <w:jc w:val="both"/>
        <w:rPr/>
      </w:pPr>
      <w:r>
        <w:rPr/>
      </w:r>
    </w:p>
    <w:p>
      <w:pPr>
        <w:pStyle w:val="Normal"/>
        <w:numPr>
          <w:ilvl w:val="0"/>
          <w:numId w:val="2"/>
        </w:numPr>
        <w:jc w:val="both"/>
        <w:rPr/>
      </w:pPr>
      <w:r>
        <w:rPr/>
        <w:t>O controle da expansão da dívida pública pela sustentação do superávit fiscal traz a perspectiva de expansão do crédito ao setor privado, do consumo e do investimento, à medida que os títulos públicos declinem como proporção do ativo dos bancos</w:t>
      </w:r>
    </w:p>
    <w:p>
      <w:pPr>
        <w:pStyle w:val="Normal"/>
        <w:jc w:val="both"/>
        <w:rPr/>
      </w:pPr>
      <w:r>
        <w:rPr/>
      </w:r>
    </w:p>
    <w:p>
      <w:pPr>
        <w:pStyle w:val="Normal"/>
        <w:numPr>
          <w:ilvl w:val="0"/>
          <w:numId w:val="4"/>
        </w:numPr>
        <w:jc w:val="both"/>
        <w:rPr/>
      </w:pPr>
      <w:r>
        <w:rPr/>
        <w:t>Depois da alta da arrecadação federal de quase 17% no ano passado, espera-se um crescimento em torno de 14% em 2000. Esse aumento deverá ser suficiente para ampliar as transferências de recursos aos estados e municípios e ainda assim garantir o superávit previsto com o FMI. Aliás, o bom desempenho da arrecadação tem sido provavelmente um dos fatores para uma certa acomodação do governo federal no que diz respeito ao andamento da reforma tributária</w:t>
      </w:r>
    </w:p>
    <w:p>
      <w:pPr>
        <w:pStyle w:val="Normal"/>
        <w:jc w:val="both"/>
        <w:rPr/>
      </w:pPr>
      <w:r>
        <w:rPr/>
      </w:r>
    </w:p>
    <w:p>
      <w:pPr>
        <w:pStyle w:val="Normal"/>
        <w:numPr>
          <w:ilvl w:val="0"/>
          <w:numId w:val="3"/>
        </w:numPr>
        <w:jc w:val="both"/>
        <w:rPr/>
      </w:pPr>
      <w:r>
        <w:rPr/>
        <w:t>Os acordos de renegociação das dívidas estaduais com o governo federal e a Lei de Responsabilidade Fiscal são dois fortes instrumentos para a produção de orçamentos mais austeros e equilibrados ao longo dos próximos anos</w:t>
      </w:r>
    </w:p>
    <w:p>
      <w:pPr>
        <w:pStyle w:val="Normal"/>
        <w:jc w:val="both"/>
        <w:rPr/>
      </w:pPr>
      <w:r>
        <w:rPr/>
      </w:r>
    </w:p>
    <w:p>
      <w:pPr>
        <w:pStyle w:val="Normal"/>
        <w:numPr>
          <w:ilvl w:val="0"/>
          <w:numId w:val="3"/>
        </w:numPr>
        <w:jc w:val="both"/>
        <w:rPr/>
      </w:pPr>
      <w:r>
        <w:rPr/>
        <w:t>No tocante aos municípios, além dos fatores mencionados para os estados, a virtual inexistência de fontes de financiamento é quase que uma garantia de que não serão produzidos déficits, até mesmo em anos eleitorais como este.</w:t>
      </w:r>
    </w:p>
    <w:p>
      <w:pPr>
        <w:pStyle w:val="Heading1"/>
        <w:ind w:hanging="0" w:start="0"/>
        <w:rPr>
          <w:b w:val="false"/>
          <w:i/>
          <w:i/>
        </w:rPr>
      </w:pPr>
      <w:r>
        <w:rPr>
          <w:b w:val="false"/>
          <w:i/>
        </w:rPr>
      </w:r>
    </w:p>
    <w:p>
      <w:pPr>
        <w:pStyle w:val="Heading1"/>
        <w:ind w:hanging="0" w:start="0"/>
        <w:rPr>
          <w:b w:val="false"/>
          <w:i/>
          <w:i/>
        </w:rPr>
      </w:pPr>
      <w:r>
        <w:rPr>
          <w:b w:val="false"/>
          <w:i/>
        </w:rPr>
      </w:r>
    </w:p>
    <w:p>
      <w:pPr>
        <w:pStyle w:val="Heading1"/>
        <w:ind w:hanging="0" w:start="0"/>
        <w:rPr>
          <w:b w:val="false"/>
          <w:i/>
          <w:i/>
        </w:rPr>
      </w:pPr>
      <w:r>
        <w:rPr>
          <w:b w:val="false"/>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rFonts w:ascii="Bookman Old Style" w:hAnsi="Bookman Old Style" w:cs="Bookman Old Style"/>
        </w:rPr>
      </w:pPr>
      <w:r>
        <w:rPr>
          <w:rFonts w:cs="Bookman Old Style" w:ascii="Bookman Old Style" w:hAnsi="Bookman Old Style"/>
        </w:rPr>
        <w:t>Cenário Político</w:t>
      </w:r>
    </w:p>
    <w:p>
      <w:pPr>
        <w:pStyle w:val="Normal"/>
        <w:jc w:val="both"/>
        <w:rPr>
          <w:rFonts w:ascii="Bookman Old Style" w:hAnsi="Bookman Old Style" w:cs="Bookman Old Style"/>
        </w:rPr>
      </w:pPr>
      <w:r>
        <w:rPr>
          <w:rFonts w:cs="Bookman Old Style" w:ascii="Bookman Old Style" w:hAnsi="Bookman Old Style"/>
        </w:rPr>
      </w:r>
    </w:p>
    <w:p>
      <w:pPr>
        <w:pStyle w:val="Normal"/>
        <w:jc w:val="both"/>
        <w:rPr/>
      </w:pPr>
      <w:r>
        <w:rPr/>
        <w:t>Ao contrário do que vários analistas políticos previam meses atrás, o governo do presidente Fernando Henrique Cardoso parece consolidar uma trajetória de fortalecimento político, ainda que lhe falte um movimento semelhante no que diz respeito ao apoio popular. Neste caso, contudo, as perspectivas também são positivas e somente não se concretizaram ainda por conta da “sazonalidade”.</w:t>
      </w:r>
    </w:p>
    <w:p>
      <w:pPr>
        <w:pStyle w:val="Normal"/>
        <w:jc w:val="both"/>
        <w:rPr/>
      </w:pPr>
      <w:r>
        <w:rPr/>
      </w:r>
    </w:p>
    <w:p>
      <w:pPr>
        <w:pStyle w:val="Normal"/>
        <w:jc w:val="both"/>
        <w:rPr/>
      </w:pPr>
      <w:r>
        <w:rPr/>
        <w:t>Tradicionalmente, o mês de maio representa um momento de enfraquecimento da imagem popular de qualquer presidente (e não apenas de FHC) pois é normalmente quando se define o reajuste do salário-mínimo (SM) e dificilmente as expectativas de trabalhadores e pensionistas têm sido atendidas. Como neste ano as discussões sobre o valor do SM foram antecipadas em dois meses, a tendência de recuperação da popularidade presidencial foi abortada nas últimas semanas.</w:t>
      </w:r>
    </w:p>
    <w:p>
      <w:pPr>
        <w:pStyle w:val="Normal"/>
        <w:jc w:val="both"/>
        <w:rPr/>
      </w:pPr>
      <w:r>
        <w:rPr/>
      </w:r>
    </w:p>
    <w:p>
      <w:pPr>
        <w:pStyle w:val="Normal"/>
        <w:jc w:val="both"/>
        <w:rPr/>
      </w:pPr>
      <w:r>
        <w:rPr/>
        <w:t>Entretanto, a se confirmarem os indicadores de recuperação da atividade econômica -- inclusive do próprio consumo doméstico, da estabilidade inflacionária e da retomada da trajetória de queda dos juros, é bastante razoável supor que a imagem do governo federal se beneficie desse ambiente macroeconômico mais positivo. Talvez por conta mesmo desse quadro que se desenha,  é que nas últimas semanas se assiste a uma certa reacomodação das forças políticas dentro da coalizão que sustenta o presidente FHC.</w:t>
      </w:r>
    </w:p>
    <w:p>
      <w:pPr>
        <w:pStyle w:val="Normal"/>
        <w:jc w:val="both"/>
        <w:rPr/>
      </w:pPr>
      <w:r>
        <w:rPr/>
      </w:r>
    </w:p>
    <w:p>
      <w:pPr>
        <w:pStyle w:val="Normal"/>
        <w:jc w:val="both"/>
        <w:rPr/>
      </w:pPr>
      <w:r>
        <w:rPr/>
        <w:t>Primeiro, foi a manobra do PSDB (o partido do presidente)  que tomou o lugar do PFL como maior bancada na Câmara dos Deputados, podendo então, nomear os presidentes das mais importantes comissões do Congresso para os próximos dois anos. Simultaneamente, o presidente vem seguidamente repetindo que o período de reformas estruturais está próximo de seu fim, sinalizando que a necessidade de compor uma aliança mais ampla para obter o quorum para aprová-las é menor, podendo assim negociar em outros termos o apoio de cada um dos partidos.</w:t>
      </w:r>
    </w:p>
    <w:p>
      <w:pPr>
        <w:pStyle w:val="Normal"/>
        <w:jc w:val="both"/>
        <w:rPr/>
      </w:pPr>
      <w:r>
        <w:rPr/>
      </w:r>
    </w:p>
    <w:p>
      <w:pPr>
        <w:pStyle w:val="Normal"/>
        <w:jc w:val="both"/>
        <w:rPr/>
      </w:pPr>
      <w:r>
        <w:rPr/>
        <w:t>Por fim, as mais recentes disputas entre os principais líderes de PFL e PMDB talvez reflitam exatamente essa nova configuração da aliança, onde o primeiro teria reduzido seu espaço em favor deste último. Embora ainda seja prematuro avaliar o desfecho desses movimentos, parece claro que a imagem de um presidente acuado ou mesmo refém dos partidos não mais existe.</w:t>
      </w:r>
    </w:p>
    <w:p>
      <w:pPr>
        <w:pStyle w:val="Normal"/>
        <w:jc w:val="both"/>
        <w:rPr/>
      </w:pPr>
      <w:r>
        <w:rPr/>
      </w:r>
    </w:p>
    <w:p>
      <w:pPr>
        <w:pStyle w:val="Normal"/>
        <w:jc w:val="both"/>
        <w:rPr/>
      </w:pPr>
      <w:r>
        <w:rPr/>
        <w:t>A aprovação da Lei de Responsabilidade Fiscal pelo Senado, do Orçamento pelo Congresso e grande probabilidade do mesmo suceder com a chamada Lei de Penalidades Fiscais pela Câmara nas próximas semanas deverá confirmar esta avaliação de força da posição presidencial, ainda que internamente a coalizão que o apoia mostre sinais crescentes de desgaste.</w:t>
      </w:r>
    </w:p>
    <w:p>
      <w:pPr>
        <w:pStyle w:val="Normal"/>
        <w:jc w:val="both"/>
        <w:rPr/>
      </w:pPr>
      <w:r>
        <w:rPr/>
      </w:r>
    </w:p>
    <w:p>
      <w:pPr>
        <w:pStyle w:val="BodyText"/>
        <w:rPr/>
      </w:pPr>
      <w:r>
        <w:rPr/>
        <w:t xml:space="preserve">De qualquer forma, o calendário do Congresso deverá dar pouco espaço para que matérias como as reformas do judiciário e tributária avancem de forma significativa nos próximos meses. Já a partir de maio os partidos começarão a reunir-se para a definição das candidaturas municipais, o que provavelmente deslocará grande parte dos congressistas para seus centros eleitorais, reduzindo assim o quorum em Brasília. </w:t>
      </w:r>
    </w:p>
    <w:p>
      <w:pPr>
        <w:pStyle w:val="Normal"/>
        <w:jc w:val="both"/>
        <w:rPr/>
      </w:pPr>
      <w:r>
        <w:rPr/>
      </w:r>
    </w:p>
    <w:p>
      <w:pPr>
        <w:pStyle w:val="Normal"/>
        <w:jc w:val="both"/>
        <w:rPr/>
      </w:pPr>
      <w:r>
        <w:rPr/>
        <w:t xml:space="preserve">Ao contrário da eleição anterior, o pleito municipal deste ano deverá gerar efeitos relevantes sobre a esfera política federal, à medida em que na ausência de uma candidatura natural da coalizão para 2002 (ao final de 1996 já havia a perspectiva da re-candidatura do presidente FHC), os resultados deste ano serão relevantes para o posicionamento de cada um dos grandes partidos para as eleições federais daqui há três anos. Não se pode também descartar que o pleito municipal possa gerar algum efeito sobre a esfera federal, durante a campanha e depois. </w:t>
      </w:r>
      <w:r>
        <w:br w:type="page"/>
      </w:r>
    </w:p>
    <w:p>
      <w:pPr>
        <w:pStyle w:val="Heading2"/>
        <w:ind w:hanging="0" w:start="0"/>
        <w:rPr>
          <w:color w:val="auto"/>
        </w:rPr>
      </w:pPr>
      <w:r>
        <w:rPr>
          <w:color w:val="auto"/>
        </w:rPr>
        <w:t>A melhora fiscal de Estados e Municípios</w:t>
      </w:r>
    </w:p>
    <w:p>
      <w:pPr>
        <w:pStyle w:val="Normal"/>
        <w:jc w:val="both"/>
        <w:rPr>
          <w:color w:val="auto"/>
        </w:rPr>
      </w:pPr>
      <w:r>
        <w:rPr>
          <w:color w:val="auto"/>
        </w:rPr>
      </w:r>
    </w:p>
    <w:p>
      <w:pPr>
        <w:pStyle w:val="Normal"/>
        <w:jc w:val="both"/>
        <w:rPr/>
      </w:pPr>
      <w:r>
        <w:rPr/>
        <w:t>A formação de um significativo superávit primário nas contas do setor público desde o último trimestre de 1998 foi o pilar da surpreendente performance da economia brasileira no ano passado. O superávit fiscal permitiu não somente a prática de uma política monetária rígida, capaz de conter a inflação dentro das metas do Banco Central, como também restabeleceu a confiança na solvência do setor público ao colocar a dívida pública em trajetória declinante em relação ao PIB e permitir o alongamento de seu prazo.</w:t>
      </w:r>
    </w:p>
    <w:p>
      <w:pPr>
        <w:pStyle w:val="Normal"/>
        <w:jc w:val="both"/>
        <w:rPr/>
      </w:pPr>
      <w:r>
        <w:rPr/>
      </w:r>
    </w:p>
    <w:p>
      <w:pPr>
        <w:pStyle w:val="Corpodetexto2"/>
        <w:jc w:val="both"/>
        <w:rPr>
          <w:color w:val="auto"/>
        </w:rPr>
      </w:pPr>
      <w:r>
        <w:rPr>
          <w:color w:val="auto"/>
        </w:rPr>
        <w:t>Por fim, o controle da expansão da dívida pública pela sustentação do superávit fiscal, traz a perspectiva de expansão do crédito ao setor privado, do consumo e do investimento, à medida que os títulos públicos declinem como proporção do ativo dos bancos. Diante da importância da sustentabilidade do superávit fiscal e da virtual paralisação do processo de reformas fiscais em virtude das eleições municipais, somado à pressão política por maiores gastos e da nova atribuição dos governadores em estabelecer pisos salariais regionais, torna-se de grande importância incorporar uma análise mais profunda da situação fiscal dos estados e municípios dado o estágio atual das reformas.</w:t>
      </w:r>
    </w:p>
    <w:p>
      <w:pPr>
        <w:pStyle w:val="Normal"/>
        <w:jc w:val="both"/>
        <w:rPr>
          <w:color w:val="auto"/>
        </w:rPr>
      </w:pPr>
      <w:r>
        <w:rPr>
          <w:color w:val="auto"/>
        </w:rPr>
      </w:r>
    </w:p>
    <w:p>
      <w:pPr>
        <w:pStyle w:val="Corpodetexto2"/>
        <w:jc w:val="both"/>
        <w:rPr>
          <w:color w:val="auto"/>
        </w:rPr>
      </w:pPr>
      <w:r>
        <w:rPr>
          <w:color w:val="auto"/>
        </w:rPr>
        <w:t xml:space="preserve">À medida que os preços industriais no atacado elevaram-se em 30% após a desvalorização, ampliou-se o valor da base de incidência dos impostos federais, estaduais e municipais. Como conseqüência, a arrecadação passou a apresentar crescimento vigoroso em termos nominais. Como a inflação ao consumidor não superou 10% no mesmo período, as várias esferas de governo foram capazes de manter seus gastos (na maioria composto por salários e aposentadorias) controlados e ajustarem-se com a ajuda desta mudança de preços relativos entre os preços no atacado e ao consumidor (receita e despesa). </w:t>
      </w:r>
    </w:p>
    <w:p>
      <w:pPr>
        <w:pStyle w:val="Normal"/>
        <w:jc w:val="both"/>
        <w:rPr>
          <w:color w:val="auto"/>
        </w:rPr>
      </w:pPr>
      <w:r>
        <w:rPr>
          <w:color w:val="auto"/>
        </w:rPr>
      </w:r>
    </w:p>
    <w:p>
      <w:pPr>
        <w:pStyle w:val="Normal"/>
        <w:jc w:val="both"/>
        <w:rPr/>
      </w:pPr>
      <w:r>
        <w:rPr/>
        <w:t>O resultado foi a geração de superávites fiscais nas várias esferas públicas. No caso específico dos estados e municípios, parte importante da arrecadação de ICMS origina-se na tributação do valor agregado dos serviços recentemente privatizados, como distribuição de energia elétrica, combustíveis e telefonia. Como estes setores tiveram reajustes de preços atrelados à inflação passada medida pelo IGP-DI (que embute preços no atacado e acumulou 20% em 1999), estados e municípios passaram a usufruir de receitas maiores desde o 2º semestre de 1999 e ainda possuem nova rodada de reajustes nas próximas semanas/meses que deve garantir novo aumento de arrecadação.</w:t>
      </w:r>
    </w:p>
    <w:p>
      <w:pPr>
        <w:pStyle w:val="Normal"/>
        <w:jc w:val="both"/>
        <w:rPr/>
      </w:pPr>
      <w:r>
        <w:rPr/>
      </w:r>
    </w:p>
    <w:p>
      <w:pPr>
        <w:pStyle w:val="Normal"/>
        <w:jc w:val="both"/>
        <w:rPr/>
      </w:pPr>
      <w:r>
        <w:rPr/>
        <w:drawing>
          <wp:anchor behindDoc="0" distT="0" distB="0" distL="114935" distR="114935" simplePos="0" locked="0" layoutInCell="0" allowOverlap="1" relativeHeight="17">
            <wp:simplePos x="0" y="0"/>
            <wp:positionH relativeFrom="column">
              <wp:posOffset>0</wp:posOffset>
            </wp:positionH>
            <wp:positionV relativeFrom="paragraph">
              <wp:posOffset>635</wp:posOffset>
            </wp:positionV>
            <wp:extent cx="5610860" cy="19189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3" r="-5" b="-13"/>
                    <a:stretch>
                      <a:fillRect/>
                    </a:stretch>
                  </pic:blipFill>
                  <pic:spPr bwMode="auto">
                    <a:xfrm>
                      <a:off x="0" y="0"/>
                      <a:ext cx="5610860" cy="1918970"/>
                    </a:xfrm>
                    <a:prstGeom prst="rect">
                      <a:avLst/>
                    </a:prstGeom>
                    <a:noFill/>
                  </pic:spPr>
                </pic:pic>
              </a:graphicData>
            </a:graphic>
          </wp:anchor>
        </w:drawing>
      </w:r>
    </w:p>
    <w:p>
      <w:pPr>
        <w:pStyle w:val="Normal"/>
        <w:jc w:val="both"/>
        <w:rPr/>
      </w:pPr>
      <w:r>
        <w:rPr/>
      </w:r>
    </w:p>
    <w:p>
      <w:pPr>
        <w:pStyle w:val="Corpodetexto2"/>
        <w:jc w:val="both"/>
        <w:rPr>
          <w:color w:val="auto"/>
        </w:rPr>
      </w:pPr>
      <w:r>
        <w:rPr>
          <w:color w:val="auto"/>
        </w:rPr>
        <w:t>Argumenta-se neste relatório que o efeito do processo de ajuste imposto pelo governo federal a si mesmo,  aos estados e municípios, iniciado com as reformas e acentuado após o programa de estabilização fiscal acertado com o FMI, acabou potencializado pela mudança de preços relativos provocada pela desvalorização. Os mecanismos de controle do endividamento dos estados e municípios passaram a apresentar resultados e parecem dispensar, pelo menos no curto prazo, maiores reformas (como a administrativa) para atingir o superávit primário fixado como meta pelo FMI para este ano (0,3% do PIB).</w:t>
      </w:r>
    </w:p>
    <w:p>
      <w:pPr>
        <w:pStyle w:val="Normal"/>
        <w:jc w:val="both"/>
        <w:rPr>
          <w:color w:val="auto"/>
        </w:rPr>
      </w:pPr>
      <w:r>
        <w:rPr>
          <w:color w:val="auto"/>
        </w:rPr>
      </w:r>
    </w:p>
    <w:p>
      <w:pPr>
        <w:pStyle w:val="Heading1"/>
        <w:ind w:hanging="0" w:start="0"/>
        <w:rPr>
          <w:rFonts w:ascii="Bookman Old Style" w:hAnsi="Bookman Old Style" w:cs="Bookman Old Style"/>
        </w:rPr>
      </w:pPr>
      <w:r>
        <w:rPr>
          <w:rFonts w:cs="Bookman Old Style" w:ascii="Bookman Old Style" w:hAnsi="Bookman Old Style"/>
        </w:rPr>
        <w:t>Ajuste pela inflação: primeiro no governo federal</w:t>
      </w:r>
    </w:p>
    <w:p>
      <w:pPr>
        <w:pStyle w:val="Normal"/>
        <w:jc w:val="both"/>
        <w:rPr>
          <w:rFonts w:ascii="Bookman Old Style" w:hAnsi="Bookman Old Style" w:cs="Bookman Old Style"/>
        </w:rPr>
      </w:pPr>
      <w:r>
        <w:rPr>
          <w:rFonts w:cs="Bookman Old Style" w:ascii="Bookman Old Style" w:hAnsi="Bookman Old Style"/>
        </w:rPr>
      </w:r>
    </w:p>
    <w:p>
      <w:pPr>
        <w:pStyle w:val="Normal"/>
        <w:jc w:val="both"/>
        <w:rPr/>
      </w:pPr>
      <w:r>
        <w:rPr/>
        <w:t xml:space="preserve">O cumprimento da meta fiscal para o governo federal em 1999 foi possibilitado em grande medida pelo aumento da alíquota de duas contribuições sociais de alto poder  arrecadatório (Cofins e CPMF). A Cofins, cuja alíquota subiu de 2% do faturamento das empresas para 3% em fevereiro de 1999, apresentou crescimento da arrecadação de 72% e passou de 10,1% para 15,2% da arrecadação total, incluindo a Previdência. Contribuíram também para o bom desempenho da arrecadação as receitas extraordinárias (a Receita Federal fez acordos ou ganhou na justiça várias receitas em atraso ou que se encontravam sob disputa judicial) e também, menos citado nas análises, a mudança de preços relativos que elevou os preços e a renda dos setores “tradables” em proporção superior ao crescimento da renda da economia como um todo. </w:t>
      </w:r>
    </w:p>
    <w:p>
      <w:pPr>
        <w:pStyle w:val="Normal"/>
        <w:jc w:val="both"/>
        <w:rPr/>
      </w:pPr>
      <w:r>
        <w:rPr/>
      </w:r>
    </w:p>
    <w:p>
      <w:pPr>
        <w:pStyle w:val="Normal"/>
        <w:jc w:val="both"/>
        <w:rPr/>
      </w:pPr>
      <w:r>
        <w:rPr/>
        <w:t>Embora parte da elevação da renda privada tenha ocorrido no setor dirigido ao mercado externo, isento de vários tributos e contribuições, esta isenção é bastante imperfeita no caso das contribuições que tiveram suas alíquotas elevadas. O desempenho da arrecadação como um todo cresceu 16,6% (14% quando se inclui a receita da Previdência), permitindo ao governo federal atingir o superávit acertado com o FMI, a despeito de apresentar gastos com custeio e investimentos 20% acima dos orçados (o que ainda representou um corte de 5% sobre 1998) e ainda elevar em 17,1% as transferências para estados e municípios.</w:t>
      </w:r>
    </w:p>
    <w:p>
      <w:pPr>
        <w:pStyle w:val="Normal"/>
        <w:jc w:val="both"/>
        <w:rPr/>
      </w:pPr>
      <w:r>
        <w:rPr/>
      </w:r>
    </w:p>
    <w:p>
      <w:pPr>
        <w:pStyle w:val="Normal"/>
        <w:jc w:val="both"/>
        <w:rPr/>
      </w:pPr>
      <w:r>
        <w:rPr/>
        <w:t xml:space="preserve">Para este ano, nossa expectativa é de outro crescimento de 14% para a arrecadação federal (incluindo a Previdência), desta vez menos dependente da inflação industrial no atacado (estimada em 10% para o ano) e mais do crescimento real do PIB e da vigência durante todo o ano de aumentos de alíquota que vigoraram parcialmente no ano passado (CPMF e Cofins). </w:t>
      </w:r>
    </w:p>
    <w:p>
      <w:pPr>
        <w:pStyle w:val="Normal"/>
        <w:jc w:val="both"/>
        <w:rPr/>
      </w:pPr>
      <w:r>
        <w:rPr/>
      </w:r>
    </w:p>
    <w:p>
      <w:pPr>
        <w:pStyle w:val="Normal"/>
        <w:jc w:val="both"/>
        <w:rPr/>
      </w:pPr>
      <w:r>
        <w:rPr/>
        <w:t>Esta arrecadação é suficiente para ampliar as transferências aos estados e municípios em 20% novamente (uma vez que termina a vigência do Fundo de Estabilização Fiscal, que retinha 20% de parte destas transferências)  e ainda assim garantir o superávit previsto com o FMI com uma margem pequena para maiores gastos de custeio, investimento e previdência. Aliás, o desempenho da arrecadação tem sido provavelmente um dos fatores para a postergação, por parte do governo federal, da iniciativa política para a aprovação da reforma tributária.</w:t>
      </w:r>
    </w:p>
    <w:p>
      <w:pPr>
        <w:pStyle w:val="Normal"/>
        <w:jc w:val="both"/>
        <w:rPr/>
      </w:pPr>
      <w:r>
        <w:rPr/>
      </w:r>
    </w:p>
    <w:p>
      <w:pPr>
        <w:pStyle w:val="Heading1"/>
        <w:ind w:hanging="0" w:start="0"/>
        <w:rPr>
          <w:rFonts w:ascii="Bookman Old Style" w:hAnsi="Bookman Old Style" w:cs="Bookman Old Style"/>
        </w:rPr>
      </w:pPr>
      <w:r>
        <w:rPr>
          <w:rFonts w:cs="Bookman Old Style" w:ascii="Bookman Old Style" w:hAnsi="Bookman Old Style"/>
        </w:rPr>
        <w:t>Ajuste pela inflação: a vez dos estados</w:t>
      </w:r>
    </w:p>
    <w:p>
      <w:pPr>
        <w:pStyle w:val="Normal"/>
        <w:jc w:val="both"/>
        <w:rPr>
          <w:rFonts w:ascii="Bookman Old Style" w:hAnsi="Bookman Old Style" w:cs="Bookman Old Style"/>
        </w:rPr>
      </w:pPr>
      <w:r>
        <w:rPr>
          <w:rFonts w:cs="Bookman Old Style" w:ascii="Bookman Old Style" w:hAnsi="Bookman Old Style"/>
        </w:rPr>
      </w:r>
    </w:p>
    <w:p>
      <w:pPr>
        <w:pStyle w:val="Normal"/>
        <w:jc w:val="both"/>
        <w:rPr/>
      </w:pPr>
      <w:r>
        <w:rPr/>
        <w:t xml:space="preserve">A situação dos estados (no agregado) foi bem mais complicada que a do governo federal nos últimos anos. A despesa com pessoal comprometia parcela importante da arrecadação, sendo que parte significativa desta despesa refere-se ao pagamento de aposentadorias. Isto deixava os estados dependentes da reforma administrativa (redução de pessoal ativo), da criação dos sub-tetos estaduais para corte dos maiores salários e da aprovação da contribuição dos servidores inativos para a sua própria aposentadoria. </w:t>
      </w:r>
    </w:p>
    <w:p>
      <w:pPr>
        <w:pStyle w:val="Normal"/>
        <w:jc w:val="both"/>
        <w:rPr/>
      </w:pPr>
      <w:r>
        <w:rPr/>
      </w:r>
    </w:p>
    <w:p>
      <w:pPr>
        <w:pStyle w:val="Normal"/>
        <w:jc w:val="both"/>
        <w:rPr/>
      </w:pPr>
      <w:r>
        <w:rPr/>
        <w:t>No caso dos estados, o conjunto das reformas da previdência e administrativa prevê a criação de um sistema de fundos de pensão que, uma vez capitalizados pela venda de ativos ou pelo encontro de contas dos tesouros estaduais com o INSS (lei Hauly), devem absorver paulatinamente a despesa com os servidores estaduais aposentados e receber o fluxo de contribuições dos servidores ativos e inativos, livrando os tesouros estaduais desta despesa.</w:t>
      </w:r>
    </w:p>
    <w:p>
      <w:pPr>
        <w:pStyle w:val="Normal"/>
        <w:jc w:val="both"/>
        <w:rPr/>
      </w:pPr>
      <w:r>
        <w:rPr/>
      </w:r>
    </w:p>
    <w:p>
      <w:pPr>
        <w:pStyle w:val="Normal"/>
        <w:jc w:val="both"/>
        <w:rPr/>
      </w:pPr>
      <w:r>
        <w:rPr/>
        <w:t xml:space="preserve">No entanto, poucos destes mecanismos já trouxeram algum benefício relevante . O único instrumento que não possibilita exatamente o ajuste primário, mas coloca pressão para a sua realização, é o acordo de refinanciamento das dívidas mobiliárias e bancárias em que o governo federal assumiu a dívida junto aos credores originais e a refinanciou para os estados por 30 anos com encargos fixos sobre a variação do IGP-DI (índice misto que combina preços ao consumidor com preços no atacado, que subiram acompanhado o câmbio). </w:t>
      </w:r>
    </w:p>
    <w:p>
      <w:pPr>
        <w:pStyle w:val="Normal"/>
        <w:jc w:val="both"/>
        <w:rPr/>
      </w:pPr>
      <w:r>
        <w:rPr/>
      </w:r>
    </w:p>
    <w:p>
      <w:pPr>
        <w:pStyle w:val="Normal"/>
        <w:jc w:val="both"/>
        <w:rPr/>
      </w:pPr>
      <w:r>
        <w:rPr/>
        <w:t>O governo federal garantiu, em troca do prazo longo e juros menores, o comprometimento de percentuais fixos da receita dos estados que giram entre 10% e 12,5% com o pagamento dessa dívida. Uma vez que os estados arrecadam cerca de 8% do PIB, estes acordos – que abrangem a maioria dos estados, exceto alguns menores e pouco importantes no cômputo da receita – geraram uma transferência de quase 1% do PIB dos estados para o governo federal.</w:t>
      </w:r>
    </w:p>
    <w:p>
      <w:pPr>
        <w:pStyle w:val="Normal"/>
        <w:jc w:val="both"/>
        <w:rPr/>
      </w:pPr>
      <w:r>
        <w:rPr/>
      </w:r>
    </w:p>
    <w:p>
      <w:pPr>
        <w:pStyle w:val="Normal"/>
        <w:jc w:val="both"/>
        <w:rPr/>
      </w:pPr>
      <w:r>
        <w:rPr/>
        <w:t>Esta transferência, contudo, não se traduziu num superávit primário dos estados da mesmo magnitude, já que as despesas com pessoal, aposentadorias, custeio e investimento continuaram superando os 87,5% a 90% restantes. Os estados financiaram este excesso de despesas correntes através de receitas de capital, como a venda de ativos ou mesmo endividamento fora do controle do governo federal. Mecanismos como a moratória do governo de Minas Gerais, por sua vez, não surtiram efeito negativo na geração do déficit primário, pois o governo federal foi capaz de executar as garantias, reter repasses federais e garantir o pagamento do acordo através desses instrumentos.</w:t>
      </w:r>
    </w:p>
    <w:p>
      <w:pPr>
        <w:pStyle w:val="Normal"/>
        <w:jc w:val="both"/>
        <w:rPr/>
      </w:pPr>
      <w:r>
        <w:rPr/>
      </w:r>
    </w:p>
    <w:p>
      <w:pPr>
        <w:pStyle w:val="Normal"/>
        <w:jc w:val="both"/>
        <w:rPr/>
      </w:pPr>
      <w:r>
        <w:rPr/>
        <w:t>Visto que o acordo das dívidas por si só não foi capaz de ajustar os gastos estaduais a ponto de gerar superávits permanentes e que as reformas que criam mecanismos para a redução de gastos ainda não estão em pleno vigor, como explicar que os estados passaram de um déficit primário de R$ 3,8 bilhões em 1998 (0,41% do PIB) para um superávit de R$ 1,6 bilhão no ano passado (0,16% do PIB) e ainda apresentaram R$ 1,7 bilhão de superávit em um único mês, em janeiro de 2000?</w:t>
      </w:r>
    </w:p>
    <w:p>
      <w:pPr>
        <w:pStyle w:val="Normal"/>
        <w:jc w:val="both"/>
        <w:rPr/>
      </w:pPr>
      <w:r>
        <w:rPr/>
      </w:r>
    </w:p>
    <w:p>
      <w:pPr>
        <w:pStyle w:val="Normal"/>
        <w:jc w:val="both"/>
        <w:rPr/>
      </w:pPr>
      <w:r>
        <w:rPr/>
        <w:t>A resposta está no mesmo mecanismo da inflação no atacado que permitiu ao governo federal gerar um significativo superávit primário no ano passado, o qual no caso dos estados, funcionou com uma defasagem de alguns meses. A alta no preço de setores responsáveis por grande parte da arrecadação de ICMS aumentou a receita principalmente no segundo semestre. A receita total dos estados (ICMS, IPVA e outras taxas) passou de um crescimento pequeno no primeiro semestre do ano passado para 17% de crescimento no 3º trimestre, 23% no 4º trimestre até atingir 25% em janeiro de 2000.</w:t>
      </w:r>
    </w:p>
    <w:p>
      <w:pPr>
        <w:pStyle w:val="Normal"/>
        <w:jc w:val="both"/>
        <w:rPr/>
      </w:pPr>
      <w:r>
        <w:rPr/>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610860" cy="26073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10" r="-5" b="-10"/>
                    <a:stretch>
                      <a:fillRect/>
                    </a:stretch>
                  </pic:blipFill>
                  <pic:spPr bwMode="auto">
                    <a:xfrm>
                      <a:off x="0" y="0"/>
                      <a:ext cx="5610860" cy="2607310"/>
                    </a:xfrm>
                    <a:prstGeom prst="rect">
                      <a:avLst/>
                    </a:prstGeom>
                    <a:noFill/>
                  </pic:spPr>
                </pic:pic>
              </a:graphicData>
            </a:graphic>
          </wp:anchor>
        </w:drawing>
      </w:r>
    </w:p>
    <w:p>
      <w:pPr>
        <w:pStyle w:val="Normal"/>
        <w:jc w:val="both"/>
        <w:rPr/>
      </w:pPr>
      <w:r>
        <w:rPr/>
      </w:r>
    </w:p>
    <w:p>
      <w:pPr>
        <w:pStyle w:val="Corpodetexto2"/>
        <w:jc w:val="both"/>
        <w:rPr>
          <w:color w:val="auto"/>
        </w:rPr>
      </w:pPr>
      <w:r>
        <w:rPr>
          <w:color w:val="auto"/>
        </w:rPr>
        <w:t>Este aumento de receita permitiu que diversos estados colocassem em dia suas folhas de pagamento e chegassem em janeiro sem nenhuma pendência deste tipo, como explicou o departamento do Banco Central responsável pelo cálculo do superávit primário dos estados. Combinado com a arrecadação recorde de janeiro (que reflete as boas vendas do final do ano e também embute a inflação do período), os estados foram capazes de apresentar o bom desempenho mencionado.</w:t>
      </w:r>
    </w:p>
    <w:p>
      <w:pPr>
        <w:pStyle w:val="Normal"/>
        <w:jc w:val="both"/>
        <w:rPr>
          <w:color w:val="auto"/>
        </w:rPr>
      </w:pPr>
      <w:r>
        <w:rPr>
          <w:color w:val="auto"/>
        </w:rPr>
      </w:r>
    </w:p>
    <w:p>
      <w:pPr>
        <w:pStyle w:val="Normal"/>
        <w:jc w:val="both"/>
        <w:rPr/>
      </w:pPr>
      <w:r>
        <w:rPr/>
        <w:t>Outra razão para a melhora do desempenho fiscal foi o crescimento de 20% nas  transferências do governo federal para os estados e municípios, principalmente os repasses da lei Kandir que cresceram  79% em 1999, uma vez que o crescimento da arrecadação federal concentrou-se em contribuições sociais não-compartilhadas.</w:t>
      </w:r>
    </w:p>
    <w:p>
      <w:pPr>
        <w:pStyle w:val="Normal"/>
        <w:jc w:val="both"/>
        <w:rPr/>
      </w:pPr>
      <w:r>
        <w:rPr/>
      </w:r>
    </w:p>
    <w:p>
      <w:pPr>
        <w:pStyle w:val="Normal"/>
        <w:jc w:val="both"/>
        <w:rPr/>
      </w:pPr>
      <w:r>
        <w:rPr/>
        <w:t>A melhora da situação fiscal que os estados apresentam  para este ano permite algumas conclusões. Primeiro, que pouco deve se esperar da reforma administrativa este ano, pois, além de ser um ano eleitoral, o crescimento da arrecadação ajuda vários estados a atingirem o comprometimento máximo com pessoal de 60% da receita líquida previsto na lei de responsabilidade fiscal,  aprovada pelo Senado. Segundo, vários estados mais ajustados devem aumentar seus gastos com pessoal, seja por reajustes de salários generalizados, seja por maiores pisos regionais para o salário mínimo que envolvam os menores salários da administração pública.</w:t>
      </w:r>
    </w:p>
    <w:p>
      <w:pPr>
        <w:pStyle w:val="Normal"/>
        <w:jc w:val="both"/>
        <w:rPr/>
      </w:pPr>
      <w:r>
        <w:rPr/>
      </w:r>
    </w:p>
    <w:p>
      <w:pPr>
        <w:pStyle w:val="Normal"/>
        <w:jc w:val="both"/>
        <w:rPr/>
      </w:pPr>
      <w:r>
        <w:rPr/>
        <w:t xml:space="preserve">Por fim, a despeito da ausência de cortes de pessoal, alguns estados devem retomar investimentos públicas financiados por organismos internacionais. Este aumento do endividamento e dos gastos de investimento explica por que não devemos esperar superávits primários próximos a 1% do PIB resultantes do acordo das dívidas com o governo federal. Uma vez que vários estados se ajustam, o Senado tem permitido o aumento do endividamento externo (que reduz o superávit primário) com o Banco Mundial ou com o Banco Inter-Americano de Desenvolvimento, aliás, previsto no pacote de ajuda externa negociado com o FMI ao final de 1998. </w:t>
      </w:r>
    </w:p>
    <w:p>
      <w:pPr>
        <w:pStyle w:val="Normal"/>
        <w:jc w:val="both"/>
        <w:rPr/>
      </w:pPr>
      <w:r>
        <w:rPr/>
      </w:r>
    </w:p>
    <w:p>
      <w:pPr>
        <w:pStyle w:val="Normal"/>
        <w:jc w:val="both"/>
        <w:rPr/>
      </w:pPr>
      <w:r>
        <w:rPr/>
        <w:t xml:space="preserve">Resta a questão se estas elevações de gastos maiores impedirão a geração de superávits primários neste ano de eleição e nos seguintes. Algumas evidências apontam para o otimismo com relação a esta questão. As mais diretas são a existência dos acordos de renegociação de dívida com o governo federal e a lei de responsabilidade fiscal, que compromete uma parcela da receita com o pagamento de juros e amortização, obrigam a elaboração de orçamentos previamente equilibrados a partir deste ano e proíbe aumentos de gastos continuados sem previsão de receita. </w:t>
      </w:r>
    </w:p>
    <w:p>
      <w:pPr>
        <w:pStyle w:val="Normal"/>
        <w:jc w:val="both"/>
        <w:rPr/>
      </w:pPr>
      <w:r>
        <w:rPr/>
      </w:r>
    </w:p>
    <w:p>
      <w:pPr>
        <w:pStyle w:val="Normal"/>
        <w:jc w:val="both"/>
        <w:rPr/>
      </w:pPr>
      <w:r>
        <w:rPr/>
        <w:t>Além disto, o crescimento maior da arrecadação acontece em grande número de estados nas regiões de menor renda, não sendo concentrado. No Sul e Sudeste, os maiores ganhos de arrecadação verificam-se nos estados que apresentam maior comprometimento com o pagamento de salários e aposentadorias, como Rio de Janeiro e Minas Gerais.</w:t>
      </w:r>
    </w:p>
    <w:p>
      <w:pPr>
        <w:pStyle w:val="Normal"/>
        <w:jc w:val="both"/>
        <w:rPr/>
      </w:pPr>
      <w:r>
        <w:rPr/>
      </w:r>
    </w:p>
    <w:p>
      <w:pPr>
        <w:pStyle w:val="Normal"/>
        <w:jc w:val="both"/>
        <w:rPr/>
      </w:pPr>
      <w:r>
        <w:rPr/>
        <w:t>Há outra evidência, indireta, retirada do resultado das eleições de 1998. Entre os 15 estados que apresentavam gastos com pessoal de até 63% da receita, houve 13 governadores reeleitos ou fazendo seu sucessor. Entre os 12 estados com maior comprometimento de receita, houve apenas 2 governadores reeleitos.</w:t>
      </w:r>
    </w:p>
    <w:p>
      <w:pPr>
        <w:pStyle w:val="Normal"/>
        <w:jc w:val="both"/>
        <w:rPr/>
      </w:pPr>
      <w:r>
        <w:rPr/>
      </w:r>
    </w:p>
    <w:p>
      <w:pPr>
        <w:pStyle w:val="Normal"/>
        <w:jc w:val="both"/>
        <w:rPr>
          <w:rFonts w:ascii="Bookman Old Style" w:hAnsi="Bookman Old Style" w:cs="Bookman Old Style"/>
          <w:b/>
        </w:rPr>
      </w:pPr>
      <w:r>
        <w:rPr>
          <w:rFonts w:cs="Bookman Old Style" w:ascii="Bookman Old Style" w:hAnsi="Bookman Old Style"/>
          <w:b/>
        </w:rPr>
        <w:t>E a vez dos municípios?</w:t>
      </w:r>
    </w:p>
    <w:p>
      <w:pPr>
        <w:pStyle w:val="Normal"/>
        <w:jc w:val="both"/>
        <w:rPr>
          <w:rFonts w:ascii="Bookman Old Style" w:hAnsi="Bookman Old Style" w:cs="Bookman Old Style"/>
          <w:b/>
        </w:rPr>
      </w:pPr>
      <w:r>
        <w:rPr>
          <w:rFonts w:cs="Bookman Old Style" w:ascii="Bookman Old Style" w:hAnsi="Bookman Old Style"/>
          <w:b/>
        </w:rPr>
      </w:r>
    </w:p>
    <w:p>
      <w:pPr>
        <w:pStyle w:val="Normal"/>
        <w:jc w:val="both"/>
        <w:rPr/>
      </w:pPr>
      <w:r>
        <w:rPr/>
        <w:t>Os municípios partilham 25% da arrecadação do ICMS estadual e 50% da arrecadação do IPVA (que apresentou crescimento em 1999, mas já cresceu 10% em janeiro de 2000) e recebem mais da metade das transferências constitucionais do governo federal. Tudo isto os faz beneficiários do aumento de arrecadação ocorrida nas outras esferas de governo.</w:t>
      </w:r>
    </w:p>
    <w:p>
      <w:pPr>
        <w:pStyle w:val="Normal"/>
        <w:jc w:val="both"/>
        <w:rPr/>
      </w:pPr>
      <w:r>
        <w:rPr/>
      </w:r>
    </w:p>
    <w:p>
      <w:pPr>
        <w:pStyle w:val="Normal"/>
        <w:jc w:val="both"/>
        <w:rPr/>
      </w:pPr>
      <w:r>
        <w:rPr/>
        <w:t>Uma análise desagregada dos municípios fica prejudicada pela dificuldade de informação sobre sua receita total, mas 3 fatores permitem formular hipóteses para o seu desempenho. Primeiro, os municípios apresentaram R$ 2 bilhões de superávit em 1998, R$ 700 milhões em 1999  e R$ 465 milhões de superávit em janeiro deste ano. Ou seja, demonstraram um relativo equilíbrio entre receita e despesa.</w:t>
      </w:r>
    </w:p>
    <w:p>
      <w:pPr>
        <w:pStyle w:val="Normal"/>
        <w:jc w:val="both"/>
        <w:rPr/>
      </w:pPr>
      <w:r>
        <w:rPr/>
      </w:r>
    </w:p>
    <w:p>
      <w:pPr>
        <w:pStyle w:val="Normal"/>
        <w:jc w:val="both"/>
        <w:rPr/>
      </w:pPr>
      <w:r>
        <w:rPr/>
        <w:t>Segundo, as duas maiores capitais possuem um peso maior na receita e gasto total dos municípios do que os respectivos estados de São Paulo e Rio de Janeiro no total dos estados (que atingem 51% neste caso). A cidade de São Paulo é objeto de um programa de renegociação de suas dívidas no mesmo molde dos estados, o que comprometeria parcela de sua receita com o pagamento de juros e garantiria um superávit primário no maior orçamento municipal do país. Outros 180 municípios (entre 5.507) também requereram a participação no programa de renegociação de dívidas.</w:t>
      </w:r>
    </w:p>
    <w:p>
      <w:pPr>
        <w:pStyle w:val="Normal"/>
        <w:jc w:val="both"/>
        <w:rPr/>
      </w:pPr>
      <w:r>
        <w:rPr/>
      </w:r>
    </w:p>
    <w:p>
      <w:pPr>
        <w:pStyle w:val="Normal"/>
        <w:jc w:val="both"/>
        <w:rPr/>
      </w:pPr>
      <w:r>
        <w:rPr/>
        <w:t>O terceiro fator é uma combinação entre a ausência de fontes de financiamento para que os municípios financiem gastos correntes e gerem déficits primários e a iminente aprovação da lei de responsabilidade fiscal. A nova legislação vai dificultar o aumento do endividamento municipal e também obrigará a elaboração de orçamentos equilibrados, assim como o seu cumprimento. Estes três fatores fazem crer que os municípios devem manter seus gastos equilibrados em relação a receita ou, caso o município de São Paulo, com todo o seu peso no agregado dos municípios, renegocie sua dívida e ajuste os seus gastos, apresentar superávit.</w:t>
      </w:r>
    </w:p>
    <w:p>
      <w:pPr>
        <w:pStyle w:val="Normal"/>
        <w:jc w:val="both"/>
        <w:rPr/>
      </w:pPr>
      <w:r>
        <w:rPr/>
      </w:r>
    </w:p>
    <w:p>
      <w:pPr>
        <w:pStyle w:val="Normal"/>
        <w:jc w:val="both"/>
        <w:rPr/>
      </w:pPr>
      <w:r>
        <w:rPr/>
        <w:t xml:space="preserve">Este desempenho das 2 esferas consideradas fontes de risco para o não cumprimento eleva mais ainda a possibilidade de cumprimento da meta total, ainda mais quando se considera que o governo federal programou suas estatais para atingirem 0,5% do PIB no lugar de 0,3% do PIB, para cobrir uma possível queda no superávit de estados e municípios de 0,3% do PIB para 0,1% do PIB. O desempenho dos estados em janeiro provavelmente desobriga as estatais de realizarem tal resultado, uma vez que precisam de apenas mais R$ 1 bilhão de superávit no restante do ano para cumprir sua parte. O gráfico da arrecadação e gastos totais de estados e municípios demonstra que a receita tem crescido mais rapidamente que os gastos, formando um superávit de R$ 4 bilhões nos últimos 12 meses terminados em janeiro, ou 0,38% do PIB. Por conta disto, é muito provável que estados e municípios e o setor público como um todo cumpram as metas de superávit primário de, respectivamente, 0,3% do PIB e 3,25% do PIB definidas com o FMI. </w:t>
      </w:r>
    </w:p>
    <w:p>
      <w:pPr>
        <w:pStyle w:val="Normal"/>
        <w:jc w:val="both"/>
        <w:rPr/>
      </w:pPr>
      <w:r>
        <w:rPr/>
      </w:r>
    </w:p>
    <w:p>
      <w:pPr>
        <w:pStyle w:val="Normal"/>
        <w:jc w:val="both"/>
        <w:rPr>
          <w:lang w:val="en-CA"/>
        </w:rPr>
      </w:pPr>
      <w:r>
        <w:rPr>
          <w:lang w:val="en-CA"/>
        </w:rPr>
        <w:drawing>
          <wp:anchor behindDoc="0" distT="0" distB="0" distL="114935" distR="114935" simplePos="0" locked="0" layoutInCell="1" allowOverlap="1" relativeHeight="19">
            <wp:simplePos x="0" y="0"/>
            <wp:positionH relativeFrom="column">
              <wp:posOffset>13970</wp:posOffset>
            </wp:positionH>
            <wp:positionV relativeFrom="paragraph">
              <wp:posOffset>32385</wp:posOffset>
            </wp:positionV>
            <wp:extent cx="5518150" cy="243014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2" r="-6" b="-12"/>
                    <a:stretch>
                      <a:fillRect/>
                    </a:stretch>
                  </pic:blipFill>
                  <pic:spPr bwMode="auto">
                    <a:xfrm>
                      <a:off x="0" y="0"/>
                      <a:ext cx="5518150" cy="2430145"/>
                    </a:xfrm>
                    <a:prstGeom prst="rect">
                      <a:avLst/>
                    </a:prstGeom>
                    <a:noFill/>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200" w:type="dxa"/>
        <w:jc w:val="start"/>
        <w:tblInd w:w="0" w:type="dxa"/>
        <w:tblLayout w:type="fixed"/>
        <w:tblCellMar>
          <w:top w:w="0" w:type="dxa"/>
          <w:start w:w="113" w:type="dxa"/>
          <w:bottom w:w="0" w:type="dxa"/>
          <w:end w:w="113" w:type="dxa"/>
        </w:tblCellMar>
      </w:tblPr>
      <w:tblGrid>
        <w:gridCol w:w="680"/>
        <w:gridCol w:w="991"/>
        <w:gridCol w:w="1165"/>
        <w:gridCol w:w="1104"/>
        <w:gridCol w:w="1008"/>
        <w:gridCol w:w="1402"/>
        <w:gridCol w:w="1276"/>
        <w:gridCol w:w="1573"/>
        <w:gridCol w:w="1"/>
      </w:tblGrid>
      <w:tr>
        <w:trPr/>
        <w:tc>
          <w:tcPr>
            <w:tcW w:w="9199" w:type="dxa"/>
            <w:gridSpan w:val="8"/>
            <w:tcBorders>
              <w:top w:val="single" w:sz="12" w:space="0" w:color="000000"/>
              <w:start w:val="single" w:sz="12" w:space="0" w:color="000000"/>
              <w:end w:val="single" w:sz="12" w:space="0" w:color="000000"/>
            </w:tcBorders>
          </w:tcPr>
          <w:p>
            <w:pPr>
              <w:pStyle w:val="Heading1"/>
              <w:ind w:hanging="0" w:start="0"/>
              <w:rPr/>
            </w:pPr>
            <w:r>
              <w:rPr/>
              <w:t>CENÁRIO 2000</w:t>
            </w:r>
          </w:p>
        </w:tc>
      </w:tr>
      <w:tr>
        <w:trPr/>
        <w:tc>
          <w:tcPr>
            <w:tcW w:w="9199" w:type="dxa"/>
            <w:gridSpan w:val="8"/>
            <w:tcBorders>
              <w:top w:val="single" w:sz="12" w:space="0" w:color="000000"/>
              <w:start w:val="single" w:sz="12" w:space="0" w:color="000000"/>
              <w:bottom w:val="single" w:sz="6" w:space="0" w:color="000000"/>
              <w:end w:val="single" w:sz="12" w:space="0" w:color="000000"/>
            </w:tcBorders>
          </w:tcPr>
          <w:p>
            <w:pPr>
              <w:pStyle w:val="Normal"/>
              <w:jc w:val="center"/>
              <w:rPr>
                <w:b/>
                <w:sz w:val="32"/>
              </w:rPr>
            </w:pPr>
            <w:r>
              <w:rPr>
                <w:b/>
                <w:sz w:val="32"/>
              </w:rPr>
              <w:t>ATIVIDADE ECONÔMICA</w:t>
            </w:r>
          </w:p>
        </w:tc>
      </w:tr>
      <w:tr>
        <w:trPr/>
        <w:tc>
          <w:tcPr>
            <w:tcW w:w="680" w:type="dxa"/>
            <w:tcBorders>
              <w:top w:val="single" w:sz="6" w:space="0" w:color="000000"/>
              <w:start w:val="single" w:sz="12" w:space="0" w:color="000000"/>
              <w:bottom w:val="single" w:sz="6" w:space="0" w:color="000000"/>
              <w:end w:val="single" w:sz="6" w:space="0" w:color="000000"/>
            </w:tcBorders>
          </w:tcPr>
          <w:p>
            <w:pPr>
              <w:pStyle w:val="Normal"/>
              <w:snapToGrid w:val="false"/>
              <w:ind w:end="-204"/>
              <w:rPr>
                <w:b/>
                <w:sz w:val="32"/>
              </w:rPr>
            </w:pPr>
            <w:r>
              <w:rPr>
                <w:b/>
                <w:sz w:val="32"/>
              </w:rPr>
            </w:r>
          </w:p>
        </w:tc>
        <w:tc>
          <w:tcPr>
            <w:tcW w:w="4268" w:type="dxa"/>
            <w:gridSpan w:val="4"/>
            <w:tcBorders>
              <w:top w:val="single" w:sz="6" w:space="0" w:color="000000"/>
              <w:start w:val="single" w:sz="6" w:space="0" w:color="000000"/>
              <w:bottom w:val="single" w:sz="6" w:space="0" w:color="000000"/>
              <w:end w:val="single" w:sz="6" w:space="0" w:color="000000"/>
            </w:tcBorders>
          </w:tcPr>
          <w:p>
            <w:pPr>
              <w:pStyle w:val="Heading5"/>
              <w:ind w:hanging="0" w:start="0"/>
              <w:rPr/>
            </w:pPr>
            <w:r>
              <w:rPr/>
              <w:t>PIB</w:t>
            </w:r>
          </w:p>
        </w:tc>
        <w:tc>
          <w:tcPr>
            <w:tcW w:w="1402" w:type="dxa"/>
            <w:tcBorders>
              <w:top w:val="single" w:sz="6" w:space="0" w:color="000000"/>
              <w:start w:val="single" w:sz="6" w:space="0" w:color="000000"/>
              <w:end w:val="single" w:sz="6" w:space="0" w:color="000000"/>
            </w:tcBorders>
          </w:tcPr>
          <w:p>
            <w:pPr>
              <w:pStyle w:val="Normal"/>
              <w:snapToGrid w:val="false"/>
              <w:jc w:val="center"/>
              <w:rPr>
                <w:b/>
              </w:rPr>
            </w:pPr>
            <w:r>
              <w:rPr>
                <w:b/>
              </w:rPr>
            </w:r>
          </w:p>
        </w:tc>
        <w:tc>
          <w:tcPr>
            <w:tcW w:w="1276" w:type="dxa"/>
            <w:tcBorders>
              <w:top w:val="single" w:sz="6" w:space="0" w:color="000000"/>
              <w:start w:val="single" w:sz="6" w:space="0" w:color="000000"/>
              <w:end w:val="single" w:sz="6" w:space="0" w:color="000000"/>
            </w:tcBorders>
          </w:tcPr>
          <w:p>
            <w:pPr>
              <w:pStyle w:val="Normal"/>
              <w:snapToGrid w:val="false"/>
              <w:rPr>
                <w:b/>
              </w:rPr>
            </w:pPr>
            <w:r>
              <w:rPr>
                <w:b/>
              </w:rPr>
            </w:r>
          </w:p>
        </w:tc>
        <w:tc>
          <w:tcPr>
            <w:tcW w:w="1574" w:type="dxa"/>
            <w:tcBorders>
              <w:top w:val="single" w:sz="6" w:space="0" w:color="000000"/>
              <w:start w:val="single" w:sz="6" w:space="0" w:color="000000"/>
              <w:end w:val="single" w:sz="12" w:space="0" w:color="000000"/>
            </w:tcBorders>
          </w:tcPr>
          <w:p>
            <w:pPr>
              <w:pStyle w:val="Normal"/>
              <w:jc w:val="center"/>
              <w:rPr>
                <w:b/>
              </w:rPr>
            </w:pPr>
            <w:r>
              <w:rPr>
                <w:b/>
              </w:rPr>
              <w:t>Utilização da</w:t>
            </w:r>
          </w:p>
        </w:tc>
      </w:tr>
      <w:tr>
        <w:trPr/>
        <w:tc>
          <w:tcPr>
            <w:tcW w:w="680"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rPr>
            </w:pPr>
            <w:r>
              <w:rPr>
                <w:b/>
              </w:rPr>
            </w:r>
          </w:p>
        </w:tc>
        <w:tc>
          <w:tcPr>
            <w:tcW w:w="4268" w:type="dxa"/>
            <w:gridSpan w:val="4"/>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 crescimento</w:t>
            </w:r>
          </w:p>
        </w:tc>
        <w:tc>
          <w:tcPr>
            <w:tcW w:w="1402" w:type="dxa"/>
            <w:tcBorders>
              <w:start w:val="single" w:sz="6" w:space="0" w:color="000000"/>
              <w:end w:val="single" w:sz="6" w:space="0" w:color="000000"/>
            </w:tcBorders>
          </w:tcPr>
          <w:p>
            <w:pPr>
              <w:pStyle w:val="Heading2"/>
              <w:ind w:hanging="0" w:start="0"/>
              <w:rPr>
                <w:color w:val="auto"/>
                <w:sz w:val="16"/>
              </w:rPr>
            </w:pPr>
            <w:r>
              <w:rPr>
                <w:color w:val="auto"/>
                <w:sz w:val="16"/>
              </w:rPr>
              <w:t>Investimento</w:t>
            </w:r>
          </w:p>
        </w:tc>
        <w:tc>
          <w:tcPr>
            <w:tcW w:w="1276" w:type="dxa"/>
            <w:tcBorders>
              <w:start w:val="single" w:sz="6" w:space="0" w:color="000000"/>
              <w:end w:val="single" w:sz="6" w:space="0" w:color="000000"/>
            </w:tcBorders>
          </w:tcPr>
          <w:p>
            <w:pPr>
              <w:pStyle w:val="Heading7"/>
              <w:ind w:hanging="0" w:start="0"/>
              <w:rPr/>
            </w:pPr>
            <w:r>
              <w:rPr/>
              <w:t>Desemprego</w:t>
            </w:r>
          </w:p>
        </w:tc>
        <w:tc>
          <w:tcPr>
            <w:tcW w:w="1574" w:type="dxa"/>
            <w:tcBorders>
              <w:start w:val="single" w:sz="6" w:space="0" w:color="000000"/>
              <w:end w:val="single" w:sz="12" w:space="0" w:color="000000"/>
            </w:tcBorders>
          </w:tcPr>
          <w:p>
            <w:pPr>
              <w:pStyle w:val="Normal"/>
              <w:jc w:val="center"/>
              <w:rPr>
                <w:b/>
              </w:rPr>
            </w:pPr>
            <w:r>
              <w:rPr>
                <w:b/>
              </w:rPr>
              <w:t>Capacidade Industrial</w:t>
            </w:r>
          </w:p>
        </w:tc>
      </w:tr>
      <w:tr>
        <w:trPr/>
        <w:tc>
          <w:tcPr>
            <w:tcW w:w="680"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rPr>
            </w:pPr>
            <w:r>
              <w:rPr>
                <w:b/>
              </w:rPr>
            </w:r>
          </w:p>
        </w:tc>
        <w:tc>
          <w:tcPr>
            <w:tcW w:w="991"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Total</w:t>
            </w:r>
          </w:p>
        </w:tc>
        <w:tc>
          <w:tcPr>
            <w:tcW w:w="1165" w:type="dxa"/>
            <w:tcBorders>
              <w:top w:val="single" w:sz="6" w:space="0" w:color="000000"/>
              <w:start w:val="single" w:sz="6" w:space="0" w:color="000000"/>
              <w:bottom w:val="single" w:sz="6" w:space="0" w:color="000000"/>
              <w:end w:val="single" w:sz="6" w:space="0" w:color="000000"/>
            </w:tcBorders>
          </w:tcPr>
          <w:p>
            <w:pPr>
              <w:pStyle w:val="Heading6"/>
              <w:ind w:hanging="0" w:start="0"/>
              <w:rPr/>
            </w:pPr>
            <w:r>
              <w:rPr/>
              <w:t>Agricultura</w:t>
            </w:r>
          </w:p>
        </w:tc>
        <w:tc>
          <w:tcPr>
            <w:tcW w:w="1104"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Indústria</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Serviços</w:t>
            </w:r>
          </w:p>
        </w:tc>
        <w:tc>
          <w:tcPr>
            <w:tcW w:w="1402" w:type="dxa"/>
            <w:tcBorders>
              <w:start w:val="single" w:sz="6" w:space="0" w:color="000000"/>
              <w:bottom w:val="single" w:sz="6" w:space="0" w:color="000000"/>
              <w:end w:val="single" w:sz="6" w:space="0" w:color="000000"/>
            </w:tcBorders>
          </w:tcPr>
          <w:p>
            <w:pPr>
              <w:pStyle w:val="Normal"/>
              <w:jc w:val="center"/>
              <w:rPr>
                <w:b/>
              </w:rPr>
            </w:pPr>
            <w:r>
              <w:rPr>
                <w:b/>
              </w:rPr>
              <w:t>% PIB</w:t>
            </w:r>
          </w:p>
        </w:tc>
        <w:tc>
          <w:tcPr>
            <w:tcW w:w="1276" w:type="dxa"/>
            <w:tcBorders>
              <w:start w:val="single" w:sz="6" w:space="0" w:color="000000"/>
              <w:bottom w:val="single" w:sz="6" w:space="0" w:color="000000"/>
              <w:end w:val="single" w:sz="6" w:space="0" w:color="000000"/>
            </w:tcBorders>
          </w:tcPr>
          <w:p>
            <w:pPr>
              <w:pStyle w:val="Normal"/>
              <w:jc w:val="center"/>
              <w:rPr>
                <w:b/>
              </w:rPr>
            </w:pPr>
            <w:r>
              <w:rPr>
                <w:b/>
              </w:rPr>
              <w:t>IBGE (%)</w:t>
            </w:r>
          </w:p>
        </w:tc>
        <w:tc>
          <w:tcPr>
            <w:tcW w:w="1574" w:type="dxa"/>
            <w:tcBorders>
              <w:start w:val="single" w:sz="6" w:space="0" w:color="000000"/>
              <w:bottom w:val="single" w:sz="6" w:space="0" w:color="000000"/>
              <w:end w:val="single" w:sz="12" w:space="0" w:color="000000"/>
            </w:tcBorders>
          </w:tcPr>
          <w:p>
            <w:pPr>
              <w:pStyle w:val="Normal"/>
              <w:jc w:val="center"/>
              <w:rPr>
                <w:b/>
              </w:rPr>
            </w:pPr>
            <w:r>
              <w:rPr>
                <w:b/>
              </w:rPr>
              <w:t>FGV (%)</w:t>
            </w:r>
          </w:p>
        </w:tc>
      </w:tr>
      <w:tr>
        <w:trPr/>
        <w:tc>
          <w:tcPr>
            <w:tcW w:w="680" w:type="dxa"/>
            <w:tcBorders>
              <w:start w:val="single" w:sz="12" w:space="0" w:color="000000"/>
              <w:end w:val="single" w:sz="6" w:space="0" w:color="000000"/>
            </w:tcBorders>
          </w:tcPr>
          <w:p>
            <w:pPr>
              <w:pStyle w:val="Normal"/>
              <w:jc w:val="center"/>
              <w:rPr>
                <w:b/>
                <w:sz w:val="16"/>
              </w:rPr>
            </w:pPr>
            <w:r>
              <w:rPr>
                <w:b/>
                <w:sz w:val="16"/>
              </w:rPr>
              <w:t>1993</w:t>
            </w:r>
          </w:p>
        </w:tc>
        <w:tc>
          <w:tcPr>
            <w:tcW w:w="991" w:type="dxa"/>
            <w:tcBorders>
              <w:start w:val="single" w:sz="6" w:space="0" w:color="000000"/>
            </w:tcBorders>
          </w:tcPr>
          <w:p>
            <w:pPr>
              <w:pStyle w:val="Normal"/>
              <w:jc w:val="center"/>
              <w:rPr>
                <w:sz w:val="18"/>
              </w:rPr>
            </w:pPr>
            <w:r>
              <w:rPr>
                <w:sz w:val="18"/>
              </w:rPr>
              <w:t>4.4</w:t>
            </w:r>
          </w:p>
        </w:tc>
        <w:tc>
          <w:tcPr>
            <w:tcW w:w="1165" w:type="dxa"/>
            <w:tcBorders/>
          </w:tcPr>
          <w:p>
            <w:pPr>
              <w:pStyle w:val="Normal"/>
              <w:jc w:val="center"/>
              <w:rPr>
                <w:sz w:val="18"/>
              </w:rPr>
            </w:pPr>
            <w:r>
              <w:rPr>
                <w:sz w:val="18"/>
              </w:rPr>
              <w:t>0.2</w:t>
            </w:r>
          </w:p>
        </w:tc>
        <w:tc>
          <w:tcPr>
            <w:tcW w:w="1104" w:type="dxa"/>
            <w:tcBorders/>
          </w:tcPr>
          <w:p>
            <w:pPr>
              <w:pStyle w:val="Normal"/>
              <w:jc w:val="center"/>
              <w:rPr>
                <w:sz w:val="18"/>
              </w:rPr>
            </w:pPr>
            <w:r>
              <w:rPr>
                <w:sz w:val="18"/>
              </w:rPr>
              <w:t>7.0</w:t>
            </w:r>
          </w:p>
        </w:tc>
        <w:tc>
          <w:tcPr>
            <w:tcW w:w="1008" w:type="dxa"/>
            <w:tcBorders/>
          </w:tcPr>
          <w:p>
            <w:pPr>
              <w:pStyle w:val="Normal"/>
              <w:jc w:val="center"/>
              <w:rPr>
                <w:sz w:val="18"/>
              </w:rPr>
            </w:pPr>
            <w:r>
              <w:rPr>
                <w:sz w:val="18"/>
              </w:rPr>
              <w:t>1.8</w:t>
            </w:r>
          </w:p>
        </w:tc>
        <w:tc>
          <w:tcPr>
            <w:tcW w:w="1402" w:type="dxa"/>
            <w:tcBorders/>
          </w:tcPr>
          <w:p>
            <w:pPr>
              <w:pStyle w:val="Normal"/>
              <w:jc w:val="center"/>
              <w:rPr>
                <w:sz w:val="18"/>
              </w:rPr>
            </w:pPr>
            <w:r>
              <w:rPr>
                <w:sz w:val="18"/>
              </w:rPr>
              <w:t>14.4</w:t>
            </w:r>
          </w:p>
        </w:tc>
        <w:tc>
          <w:tcPr>
            <w:tcW w:w="1276" w:type="dxa"/>
            <w:tcBorders/>
          </w:tcPr>
          <w:p>
            <w:pPr>
              <w:pStyle w:val="Normal"/>
              <w:jc w:val="center"/>
              <w:rPr>
                <w:sz w:val="18"/>
              </w:rPr>
            </w:pPr>
            <w:r>
              <w:rPr>
                <w:sz w:val="18"/>
              </w:rPr>
              <w:t>5.6</w:t>
            </w:r>
          </w:p>
        </w:tc>
        <w:tc>
          <w:tcPr>
            <w:tcW w:w="1574" w:type="dxa"/>
            <w:tcBorders>
              <w:end w:val="single" w:sz="12" w:space="0" w:color="000000"/>
            </w:tcBorders>
          </w:tcPr>
          <w:p>
            <w:pPr>
              <w:pStyle w:val="Normal"/>
              <w:jc w:val="center"/>
              <w:rPr>
                <w:sz w:val="18"/>
              </w:rPr>
            </w:pPr>
            <w:r>
              <w:rPr>
                <w:sz w:val="18"/>
              </w:rPr>
              <w:t>77</w:t>
            </w:r>
          </w:p>
        </w:tc>
      </w:tr>
      <w:tr>
        <w:trPr/>
        <w:tc>
          <w:tcPr>
            <w:tcW w:w="680" w:type="dxa"/>
            <w:tcBorders>
              <w:start w:val="single" w:sz="12" w:space="0" w:color="000000"/>
              <w:end w:val="single" w:sz="6" w:space="0" w:color="000000"/>
            </w:tcBorders>
          </w:tcPr>
          <w:p>
            <w:pPr>
              <w:pStyle w:val="Normal"/>
              <w:jc w:val="center"/>
              <w:rPr>
                <w:b/>
                <w:sz w:val="16"/>
              </w:rPr>
            </w:pPr>
            <w:r>
              <w:rPr>
                <w:b/>
                <w:sz w:val="16"/>
              </w:rPr>
              <w:t>1994</w:t>
            </w:r>
          </w:p>
        </w:tc>
        <w:tc>
          <w:tcPr>
            <w:tcW w:w="991" w:type="dxa"/>
            <w:tcBorders>
              <w:start w:val="single" w:sz="6" w:space="0" w:color="000000"/>
            </w:tcBorders>
          </w:tcPr>
          <w:p>
            <w:pPr>
              <w:pStyle w:val="Normal"/>
              <w:jc w:val="center"/>
              <w:rPr>
                <w:sz w:val="18"/>
              </w:rPr>
            </w:pPr>
            <w:r>
              <w:rPr>
                <w:sz w:val="18"/>
              </w:rPr>
              <w:t>5.6</w:t>
            </w:r>
          </w:p>
        </w:tc>
        <w:tc>
          <w:tcPr>
            <w:tcW w:w="1165" w:type="dxa"/>
            <w:tcBorders/>
          </w:tcPr>
          <w:p>
            <w:pPr>
              <w:pStyle w:val="Normal"/>
              <w:jc w:val="center"/>
              <w:rPr>
                <w:sz w:val="18"/>
              </w:rPr>
            </w:pPr>
            <w:r>
              <w:rPr>
                <w:sz w:val="18"/>
              </w:rPr>
              <w:t>5.5</w:t>
            </w:r>
          </w:p>
        </w:tc>
        <w:tc>
          <w:tcPr>
            <w:tcW w:w="1104" w:type="dxa"/>
            <w:tcBorders/>
          </w:tcPr>
          <w:p>
            <w:pPr>
              <w:pStyle w:val="Normal"/>
              <w:jc w:val="center"/>
              <w:rPr>
                <w:sz w:val="18"/>
              </w:rPr>
            </w:pPr>
            <w:r>
              <w:rPr>
                <w:sz w:val="18"/>
              </w:rPr>
              <w:t>6.7</w:t>
            </w:r>
          </w:p>
        </w:tc>
        <w:tc>
          <w:tcPr>
            <w:tcW w:w="1008" w:type="dxa"/>
            <w:tcBorders/>
          </w:tcPr>
          <w:p>
            <w:pPr>
              <w:pStyle w:val="Normal"/>
              <w:jc w:val="center"/>
              <w:rPr>
                <w:sz w:val="18"/>
              </w:rPr>
            </w:pPr>
            <w:r>
              <w:rPr>
                <w:sz w:val="18"/>
              </w:rPr>
              <w:t>1.8</w:t>
            </w:r>
          </w:p>
        </w:tc>
        <w:tc>
          <w:tcPr>
            <w:tcW w:w="1402" w:type="dxa"/>
            <w:tcBorders/>
          </w:tcPr>
          <w:p>
            <w:pPr>
              <w:pStyle w:val="Normal"/>
              <w:jc w:val="center"/>
              <w:rPr>
                <w:sz w:val="18"/>
              </w:rPr>
            </w:pPr>
            <w:r>
              <w:rPr>
                <w:sz w:val="18"/>
              </w:rPr>
              <w:t>15.3</w:t>
            </w:r>
          </w:p>
        </w:tc>
        <w:tc>
          <w:tcPr>
            <w:tcW w:w="1276" w:type="dxa"/>
            <w:tcBorders/>
          </w:tcPr>
          <w:p>
            <w:pPr>
              <w:pStyle w:val="Normal"/>
              <w:jc w:val="center"/>
              <w:rPr>
                <w:sz w:val="18"/>
              </w:rPr>
            </w:pPr>
            <w:r>
              <w:rPr>
                <w:sz w:val="18"/>
              </w:rPr>
              <w:t>5.4</w:t>
            </w:r>
          </w:p>
        </w:tc>
        <w:tc>
          <w:tcPr>
            <w:tcW w:w="1574" w:type="dxa"/>
            <w:tcBorders>
              <w:end w:val="single" w:sz="12" w:space="0" w:color="000000"/>
            </w:tcBorders>
          </w:tcPr>
          <w:p>
            <w:pPr>
              <w:pStyle w:val="Normal"/>
              <w:jc w:val="center"/>
              <w:rPr>
                <w:sz w:val="18"/>
              </w:rPr>
            </w:pPr>
            <w:r>
              <w:rPr>
                <w:sz w:val="18"/>
              </w:rPr>
              <w:t>80</w:t>
            </w:r>
          </w:p>
        </w:tc>
      </w:tr>
      <w:tr>
        <w:trPr/>
        <w:tc>
          <w:tcPr>
            <w:tcW w:w="680" w:type="dxa"/>
            <w:tcBorders>
              <w:start w:val="single" w:sz="12" w:space="0" w:color="000000"/>
              <w:end w:val="single" w:sz="6" w:space="0" w:color="000000"/>
            </w:tcBorders>
          </w:tcPr>
          <w:p>
            <w:pPr>
              <w:pStyle w:val="Normal"/>
              <w:jc w:val="center"/>
              <w:rPr>
                <w:b/>
                <w:sz w:val="16"/>
              </w:rPr>
            </w:pPr>
            <w:r>
              <w:rPr>
                <w:b/>
                <w:sz w:val="16"/>
              </w:rPr>
              <w:t>1995</w:t>
            </w:r>
          </w:p>
        </w:tc>
        <w:tc>
          <w:tcPr>
            <w:tcW w:w="991" w:type="dxa"/>
            <w:tcBorders>
              <w:start w:val="single" w:sz="6" w:space="0" w:color="000000"/>
            </w:tcBorders>
          </w:tcPr>
          <w:p>
            <w:pPr>
              <w:pStyle w:val="Normal"/>
              <w:jc w:val="center"/>
              <w:rPr>
                <w:sz w:val="18"/>
              </w:rPr>
            </w:pPr>
            <w:r>
              <w:rPr>
                <w:sz w:val="18"/>
              </w:rPr>
              <w:t>3.6</w:t>
            </w:r>
          </w:p>
        </w:tc>
        <w:tc>
          <w:tcPr>
            <w:tcW w:w="1165" w:type="dxa"/>
            <w:tcBorders/>
          </w:tcPr>
          <w:p>
            <w:pPr>
              <w:pStyle w:val="Normal"/>
              <w:jc w:val="center"/>
              <w:rPr>
                <w:sz w:val="18"/>
              </w:rPr>
            </w:pPr>
            <w:r>
              <w:rPr>
                <w:sz w:val="18"/>
              </w:rPr>
              <w:t>4.1</w:t>
            </w:r>
          </w:p>
        </w:tc>
        <w:tc>
          <w:tcPr>
            <w:tcW w:w="1104" w:type="dxa"/>
            <w:tcBorders/>
          </w:tcPr>
          <w:p>
            <w:pPr>
              <w:pStyle w:val="Normal"/>
              <w:jc w:val="center"/>
              <w:rPr>
                <w:sz w:val="18"/>
              </w:rPr>
            </w:pPr>
            <w:r>
              <w:rPr>
                <w:sz w:val="18"/>
              </w:rPr>
              <w:t>2.5</w:t>
            </w:r>
          </w:p>
        </w:tc>
        <w:tc>
          <w:tcPr>
            <w:tcW w:w="1008" w:type="dxa"/>
            <w:tcBorders/>
          </w:tcPr>
          <w:p>
            <w:pPr>
              <w:pStyle w:val="Normal"/>
              <w:jc w:val="center"/>
              <w:rPr>
                <w:sz w:val="18"/>
              </w:rPr>
            </w:pPr>
            <w:r>
              <w:rPr>
                <w:sz w:val="18"/>
              </w:rPr>
              <w:t>1.4</w:t>
            </w:r>
          </w:p>
        </w:tc>
        <w:tc>
          <w:tcPr>
            <w:tcW w:w="1402" w:type="dxa"/>
            <w:tcBorders/>
          </w:tcPr>
          <w:p>
            <w:pPr>
              <w:pStyle w:val="Normal"/>
              <w:jc w:val="center"/>
              <w:rPr>
                <w:sz w:val="18"/>
              </w:rPr>
            </w:pPr>
            <w:r>
              <w:rPr>
                <w:sz w:val="18"/>
              </w:rPr>
              <w:t>16.7</w:t>
            </w:r>
          </w:p>
        </w:tc>
        <w:tc>
          <w:tcPr>
            <w:tcW w:w="1276" w:type="dxa"/>
            <w:tcBorders/>
          </w:tcPr>
          <w:p>
            <w:pPr>
              <w:pStyle w:val="Normal"/>
              <w:jc w:val="center"/>
              <w:rPr>
                <w:sz w:val="18"/>
              </w:rPr>
            </w:pPr>
            <w:r>
              <w:rPr>
                <w:sz w:val="18"/>
              </w:rPr>
              <w:t>5.0</w:t>
            </w:r>
          </w:p>
        </w:tc>
        <w:tc>
          <w:tcPr>
            <w:tcW w:w="1574" w:type="dxa"/>
            <w:tcBorders>
              <w:end w:val="single" w:sz="12" w:space="0" w:color="000000"/>
            </w:tcBorders>
          </w:tcPr>
          <w:p>
            <w:pPr>
              <w:pStyle w:val="Normal"/>
              <w:jc w:val="center"/>
              <w:rPr>
                <w:sz w:val="18"/>
              </w:rPr>
            </w:pPr>
            <w:r>
              <w:rPr>
                <w:sz w:val="18"/>
              </w:rPr>
              <w:t>83</w:t>
            </w:r>
          </w:p>
        </w:tc>
      </w:tr>
      <w:tr>
        <w:trPr/>
        <w:tc>
          <w:tcPr>
            <w:tcW w:w="680" w:type="dxa"/>
            <w:tcBorders>
              <w:start w:val="single" w:sz="12" w:space="0" w:color="000000"/>
              <w:end w:val="single" w:sz="6" w:space="0" w:color="000000"/>
            </w:tcBorders>
          </w:tcPr>
          <w:p>
            <w:pPr>
              <w:pStyle w:val="Normal"/>
              <w:jc w:val="center"/>
              <w:rPr>
                <w:b/>
                <w:sz w:val="16"/>
              </w:rPr>
            </w:pPr>
            <w:r>
              <w:rPr>
                <w:b/>
                <w:sz w:val="16"/>
              </w:rPr>
              <w:t>1996</w:t>
            </w:r>
          </w:p>
        </w:tc>
        <w:tc>
          <w:tcPr>
            <w:tcW w:w="991" w:type="dxa"/>
            <w:tcBorders>
              <w:start w:val="single" w:sz="6" w:space="0" w:color="000000"/>
            </w:tcBorders>
          </w:tcPr>
          <w:p>
            <w:pPr>
              <w:pStyle w:val="Normal"/>
              <w:jc w:val="center"/>
              <w:rPr>
                <w:sz w:val="18"/>
              </w:rPr>
            </w:pPr>
            <w:r>
              <w:rPr>
                <w:sz w:val="18"/>
              </w:rPr>
              <w:t>2.7</w:t>
            </w:r>
          </w:p>
        </w:tc>
        <w:tc>
          <w:tcPr>
            <w:tcW w:w="1165" w:type="dxa"/>
            <w:tcBorders/>
          </w:tcPr>
          <w:p>
            <w:pPr>
              <w:pStyle w:val="Normal"/>
              <w:jc w:val="center"/>
              <w:rPr>
                <w:sz w:val="18"/>
              </w:rPr>
            </w:pPr>
            <w:r>
              <w:rPr>
                <w:sz w:val="18"/>
              </w:rPr>
              <w:t>4.0</w:t>
            </w:r>
          </w:p>
        </w:tc>
        <w:tc>
          <w:tcPr>
            <w:tcW w:w="1104" w:type="dxa"/>
            <w:tcBorders/>
          </w:tcPr>
          <w:p>
            <w:pPr>
              <w:pStyle w:val="Normal"/>
              <w:jc w:val="center"/>
              <w:rPr>
                <w:sz w:val="18"/>
              </w:rPr>
            </w:pPr>
            <w:r>
              <w:rPr>
                <w:sz w:val="18"/>
              </w:rPr>
              <w:t>3.8</w:t>
            </w:r>
          </w:p>
        </w:tc>
        <w:tc>
          <w:tcPr>
            <w:tcW w:w="1008" w:type="dxa"/>
            <w:tcBorders/>
          </w:tcPr>
          <w:p>
            <w:pPr>
              <w:pStyle w:val="Normal"/>
              <w:jc w:val="center"/>
              <w:rPr>
                <w:sz w:val="18"/>
              </w:rPr>
            </w:pPr>
            <w:r>
              <w:rPr>
                <w:sz w:val="18"/>
              </w:rPr>
              <w:t>0.8</w:t>
            </w:r>
          </w:p>
        </w:tc>
        <w:tc>
          <w:tcPr>
            <w:tcW w:w="1402" w:type="dxa"/>
            <w:tcBorders/>
          </w:tcPr>
          <w:p>
            <w:pPr>
              <w:pStyle w:val="Normal"/>
              <w:jc w:val="center"/>
              <w:rPr>
                <w:sz w:val="18"/>
              </w:rPr>
            </w:pPr>
            <w:r>
              <w:rPr>
                <w:sz w:val="18"/>
              </w:rPr>
              <w:t>16.5</w:t>
            </w:r>
          </w:p>
        </w:tc>
        <w:tc>
          <w:tcPr>
            <w:tcW w:w="1276" w:type="dxa"/>
            <w:tcBorders/>
          </w:tcPr>
          <w:p>
            <w:pPr>
              <w:pStyle w:val="Normal"/>
              <w:jc w:val="center"/>
              <w:rPr>
                <w:sz w:val="18"/>
              </w:rPr>
            </w:pPr>
            <w:r>
              <w:rPr>
                <w:sz w:val="18"/>
              </w:rPr>
              <w:t>5.8</w:t>
            </w:r>
          </w:p>
        </w:tc>
        <w:tc>
          <w:tcPr>
            <w:tcW w:w="1574" w:type="dxa"/>
            <w:tcBorders>
              <w:end w:val="single" w:sz="12" w:space="0" w:color="000000"/>
            </w:tcBorders>
          </w:tcPr>
          <w:p>
            <w:pPr>
              <w:pStyle w:val="Normal"/>
              <w:jc w:val="center"/>
              <w:rPr>
                <w:sz w:val="18"/>
              </w:rPr>
            </w:pPr>
            <w:r>
              <w:rPr>
                <w:sz w:val="18"/>
              </w:rPr>
              <w:t>82</w:t>
            </w:r>
          </w:p>
        </w:tc>
      </w:tr>
      <w:tr>
        <w:trPr/>
        <w:tc>
          <w:tcPr>
            <w:tcW w:w="680" w:type="dxa"/>
            <w:tcBorders>
              <w:start w:val="single" w:sz="12" w:space="0" w:color="000000"/>
              <w:end w:val="single" w:sz="6" w:space="0" w:color="000000"/>
            </w:tcBorders>
          </w:tcPr>
          <w:p>
            <w:pPr>
              <w:pStyle w:val="Normal"/>
              <w:jc w:val="center"/>
              <w:rPr>
                <w:b/>
                <w:sz w:val="16"/>
              </w:rPr>
            </w:pPr>
            <w:r>
              <w:rPr>
                <w:b/>
                <w:sz w:val="16"/>
              </w:rPr>
              <w:t>1997</w:t>
            </w:r>
          </w:p>
        </w:tc>
        <w:tc>
          <w:tcPr>
            <w:tcW w:w="991" w:type="dxa"/>
            <w:tcBorders>
              <w:start w:val="single" w:sz="6" w:space="0" w:color="000000"/>
            </w:tcBorders>
          </w:tcPr>
          <w:p>
            <w:pPr>
              <w:pStyle w:val="Normal"/>
              <w:jc w:val="center"/>
              <w:rPr>
                <w:sz w:val="18"/>
              </w:rPr>
            </w:pPr>
            <w:r>
              <w:rPr>
                <w:sz w:val="18"/>
              </w:rPr>
              <w:t>3.5</w:t>
            </w:r>
          </w:p>
        </w:tc>
        <w:tc>
          <w:tcPr>
            <w:tcW w:w="1165" w:type="dxa"/>
            <w:tcBorders/>
          </w:tcPr>
          <w:p>
            <w:pPr>
              <w:pStyle w:val="Normal"/>
              <w:jc w:val="center"/>
              <w:rPr>
                <w:sz w:val="18"/>
              </w:rPr>
            </w:pPr>
            <w:r>
              <w:rPr>
                <w:sz w:val="18"/>
              </w:rPr>
              <w:t>2.9</w:t>
            </w:r>
          </w:p>
        </w:tc>
        <w:tc>
          <w:tcPr>
            <w:tcW w:w="1104" w:type="dxa"/>
            <w:tcBorders/>
          </w:tcPr>
          <w:p>
            <w:pPr>
              <w:pStyle w:val="Normal"/>
              <w:jc w:val="center"/>
              <w:rPr>
                <w:sz w:val="18"/>
              </w:rPr>
            </w:pPr>
            <w:r>
              <w:rPr>
                <w:sz w:val="18"/>
              </w:rPr>
              <w:t>5.5</w:t>
            </w:r>
          </w:p>
        </w:tc>
        <w:tc>
          <w:tcPr>
            <w:tcW w:w="1008" w:type="dxa"/>
            <w:tcBorders/>
          </w:tcPr>
          <w:p>
            <w:pPr>
              <w:pStyle w:val="Normal"/>
              <w:jc w:val="center"/>
              <w:rPr>
                <w:sz w:val="18"/>
              </w:rPr>
            </w:pPr>
            <w:r>
              <w:rPr>
                <w:sz w:val="18"/>
              </w:rPr>
              <w:t>1.7</w:t>
            </w:r>
          </w:p>
        </w:tc>
        <w:tc>
          <w:tcPr>
            <w:tcW w:w="1402" w:type="dxa"/>
            <w:tcBorders/>
          </w:tcPr>
          <w:p>
            <w:pPr>
              <w:pStyle w:val="Normal"/>
              <w:jc w:val="center"/>
              <w:rPr>
                <w:sz w:val="18"/>
              </w:rPr>
            </w:pPr>
            <w:r>
              <w:rPr>
                <w:sz w:val="18"/>
              </w:rPr>
              <w:t>18.0</w:t>
            </w:r>
          </w:p>
        </w:tc>
        <w:tc>
          <w:tcPr>
            <w:tcW w:w="1276" w:type="dxa"/>
            <w:tcBorders/>
          </w:tcPr>
          <w:p>
            <w:pPr>
              <w:pStyle w:val="Normal"/>
              <w:jc w:val="center"/>
              <w:rPr>
                <w:sz w:val="18"/>
              </w:rPr>
            </w:pPr>
            <w:r>
              <w:rPr>
                <w:sz w:val="18"/>
              </w:rPr>
              <w:t>6.1</w:t>
            </w:r>
          </w:p>
        </w:tc>
        <w:tc>
          <w:tcPr>
            <w:tcW w:w="1574" w:type="dxa"/>
            <w:tcBorders>
              <w:end w:val="single" w:sz="12" w:space="0" w:color="000000"/>
            </w:tcBorders>
          </w:tcPr>
          <w:p>
            <w:pPr>
              <w:pStyle w:val="Normal"/>
              <w:jc w:val="center"/>
              <w:rPr>
                <w:sz w:val="18"/>
              </w:rPr>
            </w:pPr>
            <w:r>
              <w:rPr>
                <w:sz w:val="18"/>
              </w:rPr>
              <w:t>84</w:t>
            </w:r>
          </w:p>
        </w:tc>
      </w:tr>
      <w:tr>
        <w:trPr/>
        <w:tc>
          <w:tcPr>
            <w:tcW w:w="680" w:type="dxa"/>
            <w:tcBorders>
              <w:start w:val="single" w:sz="12" w:space="0" w:color="000000"/>
              <w:end w:val="single" w:sz="6" w:space="0" w:color="000000"/>
            </w:tcBorders>
          </w:tcPr>
          <w:p>
            <w:pPr>
              <w:pStyle w:val="Normal"/>
              <w:jc w:val="center"/>
              <w:rPr>
                <w:b/>
                <w:sz w:val="16"/>
              </w:rPr>
            </w:pPr>
            <w:r>
              <w:rPr>
                <w:b/>
                <w:sz w:val="16"/>
              </w:rPr>
              <w:t>1998</w:t>
            </w:r>
          </w:p>
        </w:tc>
        <w:tc>
          <w:tcPr>
            <w:tcW w:w="991" w:type="dxa"/>
            <w:tcBorders>
              <w:start w:val="single" w:sz="6" w:space="0" w:color="000000"/>
            </w:tcBorders>
          </w:tcPr>
          <w:p>
            <w:pPr>
              <w:pStyle w:val="Normal"/>
              <w:jc w:val="center"/>
              <w:rPr>
                <w:sz w:val="18"/>
              </w:rPr>
            </w:pPr>
            <w:r>
              <w:rPr>
                <w:sz w:val="18"/>
              </w:rPr>
              <w:t>-0.1</w:t>
            </w:r>
          </w:p>
        </w:tc>
        <w:tc>
          <w:tcPr>
            <w:tcW w:w="1165" w:type="dxa"/>
            <w:tcBorders/>
          </w:tcPr>
          <w:p>
            <w:pPr>
              <w:pStyle w:val="Normal"/>
              <w:jc w:val="center"/>
              <w:rPr>
                <w:sz w:val="18"/>
              </w:rPr>
            </w:pPr>
            <w:r>
              <w:rPr>
                <w:sz w:val="18"/>
              </w:rPr>
              <w:t>-3.8</w:t>
            </w:r>
          </w:p>
        </w:tc>
        <w:tc>
          <w:tcPr>
            <w:tcW w:w="1104" w:type="dxa"/>
            <w:tcBorders/>
          </w:tcPr>
          <w:p>
            <w:pPr>
              <w:pStyle w:val="Normal"/>
              <w:jc w:val="center"/>
              <w:rPr>
                <w:sz w:val="18"/>
              </w:rPr>
            </w:pPr>
            <w:r>
              <w:rPr>
                <w:sz w:val="18"/>
              </w:rPr>
              <w:t>-1.4</w:t>
            </w:r>
          </w:p>
        </w:tc>
        <w:tc>
          <w:tcPr>
            <w:tcW w:w="1008" w:type="dxa"/>
            <w:tcBorders/>
          </w:tcPr>
          <w:p>
            <w:pPr>
              <w:pStyle w:val="Normal"/>
              <w:jc w:val="center"/>
              <w:rPr>
                <w:sz w:val="18"/>
              </w:rPr>
            </w:pPr>
            <w:r>
              <w:rPr>
                <w:sz w:val="18"/>
              </w:rPr>
              <w:t>2.6</w:t>
            </w:r>
          </w:p>
        </w:tc>
        <w:tc>
          <w:tcPr>
            <w:tcW w:w="1402" w:type="dxa"/>
            <w:tcBorders/>
          </w:tcPr>
          <w:p>
            <w:pPr>
              <w:pStyle w:val="Normal"/>
              <w:jc w:val="center"/>
              <w:rPr>
                <w:sz w:val="18"/>
              </w:rPr>
            </w:pPr>
            <w:r>
              <w:rPr>
                <w:sz w:val="18"/>
              </w:rPr>
              <w:t>17.7</w:t>
            </w:r>
          </w:p>
        </w:tc>
        <w:tc>
          <w:tcPr>
            <w:tcW w:w="1276" w:type="dxa"/>
            <w:tcBorders/>
          </w:tcPr>
          <w:p>
            <w:pPr>
              <w:pStyle w:val="Normal"/>
              <w:jc w:val="center"/>
              <w:rPr>
                <w:sz w:val="18"/>
              </w:rPr>
            </w:pPr>
            <w:r>
              <w:rPr>
                <w:sz w:val="18"/>
              </w:rPr>
              <w:t>8.4</w:t>
            </w:r>
          </w:p>
        </w:tc>
        <w:tc>
          <w:tcPr>
            <w:tcW w:w="1574" w:type="dxa"/>
            <w:tcBorders>
              <w:end w:val="single" w:sz="12" w:space="0" w:color="000000"/>
            </w:tcBorders>
          </w:tcPr>
          <w:p>
            <w:pPr>
              <w:pStyle w:val="Normal"/>
              <w:jc w:val="center"/>
              <w:rPr>
                <w:sz w:val="18"/>
              </w:rPr>
            </w:pPr>
            <w:r>
              <w:rPr>
                <w:sz w:val="18"/>
              </w:rPr>
              <w:t>82</w:t>
            </w:r>
          </w:p>
        </w:tc>
      </w:tr>
      <w:tr>
        <w:trPr/>
        <w:tc>
          <w:tcPr>
            <w:tcW w:w="680" w:type="dxa"/>
            <w:tcBorders>
              <w:start w:val="single" w:sz="12" w:space="0" w:color="000000"/>
              <w:end w:val="single" w:sz="6" w:space="0" w:color="000000"/>
            </w:tcBorders>
          </w:tcPr>
          <w:p>
            <w:pPr>
              <w:pStyle w:val="Normal"/>
              <w:jc w:val="center"/>
              <w:rPr>
                <w:b/>
                <w:sz w:val="16"/>
              </w:rPr>
            </w:pPr>
            <w:r>
              <w:rPr>
                <w:b/>
                <w:sz w:val="16"/>
              </w:rPr>
              <w:t>1999</w:t>
            </w:r>
          </w:p>
        </w:tc>
        <w:tc>
          <w:tcPr>
            <w:tcW w:w="991" w:type="dxa"/>
            <w:tcBorders>
              <w:start w:val="single" w:sz="6" w:space="0" w:color="000000"/>
            </w:tcBorders>
          </w:tcPr>
          <w:p>
            <w:pPr>
              <w:pStyle w:val="Normal"/>
              <w:jc w:val="center"/>
              <w:rPr>
                <w:sz w:val="18"/>
              </w:rPr>
            </w:pPr>
            <w:r>
              <w:rPr>
                <w:sz w:val="18"/>
              </w:rPr>
              <w:t>0.8</w:t>
            </w:r>
          </w:p>
        </w:tc>
        <w:tc>
          <w:tcPr>
            <w:tcW w:w="1165" w:type="dxa"/>
            <w:tcBorders/>
          </w:tcPr>
          <w:p>
            <w:pPr>
              <w:pStyle w:val="Normal"/>
              <w:jc w:val="center"/>
              <w:rPr>
                <w:sz w:val="18"/>
              </w:rPr>
            </w:pPr>
            <w:r>
              <w:rPr>
                <w:sz w:val="18"/>
              </w:rPr>
              <w:t>9.7</w:t>
            </w:r>
          </w:p>
        </w:tc>
        <w:tc>
          <w:tcPr>
            <w:tcW w:w="1104" w:type="dxa"/>
            <w:tcBorders/>
          </w:tcPr>
          <w:p>
            <w:pPr>
              <w:pStyle w:val="Normal"/>
              <w:jc w:val="center"/>
              <w:rPr>
                <w:sz w:val="18"/>
              </w:rPr>
            </w:pPr>
            <w:r>
              <w:rPr>
                <w:sz w:val="18"/>
              </w:rPr>
              <w:t>-1.6</w:t>
            </w:r>
          </w:p>
        </w:tc>
        <w:tc>
          <w:tcPr>
            <w:tcW w:w="1008" w:type="dxa"/>
            <w:tcBorders/>
          </w:tcPr>
          <w:p>
            <w:pPr>
              <w:pStyle w:val="Normal"/>
              <w:jc w:val="center"/>
              <w:rPr>
                <w:sz w:val="18"/>
              </w:rPr>
            </w:pPr>
            <w:r>
              <w:rPr>
                <w:sz w:val="18"/>
              </w:rPr>
              <w:t>1.1</w:t>
            </w:r>
          </w:p>
        </w:tc>
        <w:tc>
          <w:tcPr>
            <w:tcW w:w="1402" w:type="dxa"/>
            <w:tcBorders/>
          </w:tcPr>
          <w:p>
            <w:pPr>
              <w:pStyle w:val="Normal"/>
              <w:jc w:val="center"/>
              <w:rPr>
                <w:sz w:val="18"/>
              </w:rPr>
            </w:pPr>
            <w:r>
              <w:rPr>
                <w:sz w:val="18"/>
              </w:rPr>
              <w:t>16.1</w:t>
            </w:r>
          </w:p>
        </w:tc>
        <w:tc>
          <w:tcPr>
            <w:tcW w:w="1276" w:type="dxa"/>
            <w:tcBorders/>
          </w:tcPr>
          <w:p>
            <w:pPr>
              <w:pStyle w:val="Normal"/>
              <w:jc w:val="center"/>
              <w:rPr>
                <w:sz w:val="18"/>
              </w:rPr>
            </w:pPr>
            <w:r>
              <w:rPr>
                <w:sz w:val="18"/>
              </w:rPr>
              <w:t>8.2</w:t>
            </w:r>
          </w:p>
        </w:tc>
        <w:tc>
          <w:tcPr>
            <w:tcW w:w="1574" w:type="dxa"/>
            <w:tcBorders>
              <w:end w:val="single" w:sz="12" w:space="0" w:color="000000"/>
            </w:tcBorders>
          </w:tcPr>
          <w:p>
            <w:pPr>
              <w:pStyle w:val="Normal"/>
              <w:jc w:val="center"/>
              <w:rPr>
                <w:sz w:val="18"/>
              </w:rPr>
            </w:pPr>
            <w:r>
              <w:rPr>
                <w:sz w:val="18"/>
              </w:rPr>
              <w:t>80</w:t>
            </w:r>
          </w:p>
        </w:tc>
      </w:tr>
      <w:tr>
        <w:trPr/>
        <w:tc>
          <w:tcPr>
            <w:tcW w:w="680" w:type="dxa"/>
            <w:tcBorders>
              <w:start w:val="single" w:sz="12" w:space="0" w:color="000000"/>
              <w:bottom w:val="single" w:sz="12" w:space="0" w:color="000000"/>
              <w:end w:val="single" w:sz="6" w:space="0" w:color="000000"/>
            </w:tcBorders>
          </w:tcPr>
          <w:p>
            <w:pPr>
              <w:pStyle w:val="Normal"/>
              <w:jc w:val="center"/>
              <w:rPr>
                <w:b/>
                <w:sz w:val="16"/>
              </w:rPr>
            </w:pPr>
            <w:r>
              <w:rPr>
                <w:b/>
                <w:sz w:val="16"/>
              </w:rPr>
              <w:t>2000</w:t>
            </w:r>
          </w:p>
        </w:tc>
        <w:tc>
          <w:tcPr>
            <w:tcW w:w="991" w:type="dxa"/>
            <w:tcBorders>
              <w:start w:val="single" w:sz="6" w:space="0" w:color="000000"/>
              <w:bottom w:val="single" w:sz="12" w:space="0" w:color="000000"/>
            </w:tcBorders>
          </w:tcPr>
          <w:p>
            <w:pPr>
              <w:pStyle w:val="Normal"/>
              <w:jc w:val="center"/>
              <w:rPr>
                <w:sz w:val="18"/>
              </w:rPr>
            </w:pPr>
            <w:r>
              <w:rPr>
                <w:sz w:val="18"/>
              </w:rPr>
              <w:t>3.6</w:t>
            </w:r>
          </w:p>
        </w:tc>
        <w:tc>
          <w:tcPr>
            <w:tcW w:w="1165" w:type="dxa"/>
            <w:tcBorders>
              <w:bottom w:val="single" w:sz="12" w:space="0" w:color="000000"/>
            </w:tcBorders>
          </w:tcPr>
          <w:p>
            <w:pPr>
              <w:pStyle w:val="Normal"/>
              <w:jc w:val="center"/>
              <w:rPr>
                <w:sz w:val="18"/>
              </w:rPr>
            </w:pPr>
            <w:r>
              <w:rPr>
                <w:sz w:val="18"/>
              </w:rPr>
              <w:t>1.5</w:t>
            </w:r>
          </w:p>
        </w:tc>
        <w:tc>
          <w:tcPr>
            <w:tcW w:w="1104" w:type="dxa"/>
            <w:tcBorders>
              <w:bottom w:val="single" w:sz="12" w:space="0" w:color="000000"/>
            </w:tcBorders>
          </w:tcPr>
          <w:p>
            <w:pPr>
              <w:pStyle w:val="Normal"/>
              <w:jc w:val="center"/>
              <w:rPr>
                <w:sz w:val="18"/>
              </w:rPr>
            </w:pPr>
            <w:r>
              <w:rPr>
                <w:sz w:val="18"/>
              </w:rPr>
              <w:t>5.4</w:t>
            </w:r>
          </w:p>
        </w:tc>
        <w:tc>
          <w:tcPr>
            <w:tcW w:w="1008" w:type="dxa"/>
            <w:tcBorders>
              <w:bottom w:val="single" w:sz="12" w:space="0" w:color="000000"/>
            </w:tcBorders>
          </w:tcPr>
          <w:p>
            <w:pPr>
              <w:pStyle w:val="Normal"/>
              <w:jc w:val="center"/>
              <w:rPr>
                <w:sz w:val="18"/>
              </w:rPr>
            </w:pPr>
            <w:r>
              <w:rPr>
                <w:sz w:val="18"/>
              </w:rPr>
              <w:t>3.1</w:t>
            </w:r>
          </w:p>
        </w:tc>
        <w:tc>
          <w:tcPr>
            <w:tcW w:w="1402" w:type="dxa"/>
            <w:tcBorders>
              <w:bottom w:val="single" w:sz="12" w:space="0" w:color="000000"/>
            </w:tcBorders>
          </w:tcPr>
          <w:p>
            <w:pPr>
              <w:pStyle w:val="Normal"/>
              <w:jc w:val="center"/>
              <w:rPr>
                <w:sz w:val="18"/>
              </w:rPr>
            </w:pPr>
            <w:r>
              <w:rPr>
                <w:sz w:val="18"/>
              </w:rPr>
              <w:t>17.0</w:t>
            </w:r>
          </w:p>
        </w:tc>
        <w:tc>
          <w:tcPr>
            <w:tcW w:w="1276" w:type="dxa"/>
            <w:tcBorders>
              <w:bottom w:val="single" w:sz="12" w:space="0" w:color="000000"/>
            </w:tcBorders>
          </w:tcPr>
          <w:p>
            <w:pPr>
              <w:pStyle w:val="Normal"/>
              <w:jc w:val="center"/>
              <w:rPr>
                <w:sz w:val="18"/>
              </w:rPr>
            </w:pPr>
            <w:r>
              <w:rPr>
                <w:sz w:val="18"/>
              </w:rPr>
              <w:t>7.7</w:t>
            </w:r>
          </w:p>
        </w:tc>
        <w:tc>
          <w:tcPr>
            <w:tcW w:w="1574" w:type="dxa"/>
            <w:tcBorders>
              <w:bottom w:val="single" w:sz="12" w:space="0" w:color="000000"/>
              <w:end w:val="single" w:sz="12" w:space="0" w:color="000000"/>
            </w:tcBorders>
          </w:tcPr>
          <w:p>
            <w:pPr>
              <w:pStyle w:val="Normal"/>
              <w:jc w:val="center"/>
              <w:rPr>
                <w:sz w:val="18"/>
              </w:rPr>
            </w:pPr>
            <w:r>
              <w:rPr>
                <w:sz w:val="18"/>
              </w:rPr>
              <w:t>83</w:t>
            </w:r>
          </w:p>
        </w:tc>
      </w:tr>
    </w:tbl>
    <w:p>
      <w:pPr>
        <w:pStyle w:val="Normal"/>
        <w:rPr/>
      </w:pPr>
      <w:r>
        <w:rPr/>
        <w:t xml:space="preserve">  </w:t>
      </w:r>
    </w:p>
    <w:tbl>
      <w:tblPr>
        <w:tblW w:w="9192" w:type="dxa"/>
        <w:jc w:val="start"/>
        <w:tblInd w:w="0" w:type="dxa"/>
        <w:tblLayout w:type="fixed"/>
        <w:tblCellMar>
          <w:top w:w="0" w:type="dxa"/>
          <w:start w:w="113" w:type="dxa"/>
          <w:bottom w:w="0" w:type="dxa"/>
          <w:end w:w="113" w:type="dxa"/>
        </w:tblCellMar>
      </w:tblPr>
      <w:tblGrid>
        <w:gridCol w:w="866"/>
        <w:gridCol w:w="1213"/>
        <w:gridCol w:w="10"/>
        <w:gridCol w:w="1203"/>
        <w:gridCol w:w="1"/>
        <w:gridCol w:w="9"/>
        <w:gridCol w:w="1203"/>
        <w:gridCol w:w="1"/>
        <w:gridCol w:w="2"/>
        <w:gridCol w:w="7"/>
        <w:gridCol w:w="1265"/>
        <w:gridCol w:w="1"/>
        <w:gridCol w:w="9"/>
        <w:gridCol w:w="1266"/>
        <w:gridCol w:w="1"/>
        <w:gridCol w:w="23"/>
        <w:gridCol w:w="1113"/>
        <w:gridCol w:w="7"/>
        <w:gridCol w:w="982"/>
        <w:gridCol w:w="1"/>
        <w:gridCol w:w="2"/>
        <w:gridCol w:w="7"/>
      </w:tblGrid>
      <w:tr>
        <w:trPr/>
        <w:tc>
          <w:tcPr>
            <w:tcW w:w="4508" w:type="dxa"/>
            <w:gridSpan w:val="9"/>
            <w:tcBorders>
              <w:top w:val="single" w:sz="12" w:space="0" w:color="000000"/>
              <w:start w:val="single" w:sz="12" w:space="0" w:color="000000"/>
              <w:bottom w:val="single" w:sz="6" w:space="0" w:color="000000"/>
              <w:end w:val="single" w:sz="6" w:space="0" w:color="000000"/>
            </w:tcBorders>
          </w:tcPr>
          <w:p>
            <w:pPr>
              <w:pStyle w:val="Normal"/>
              <w:jc w:val="center"/>
              <w:rPr>
                <w:b/>
                <w:sz w:val="32"/>
              </w:rPr>
            </w:pPr>
            <w:r>
              <w:rPr>
                <w:b/>
                <w:sz w:val="32"/>
              </w:rPr>
              <w:t>SETOR PÚBLICO</w:t>
            </w:r>
          </w:p>
        </w:tc>
        <w:tc>
          <w:tcPr>
            <w:tcW w:w="4677" w:type="dxa"/>
            <w:gridSpan w:val="10"/>
            <w:tcBorders>
              <w:top w:val="single" w:sz="12" w:space="0" w:color="000000"/>
              <w:start w:val="single" w:sz="6" w:space="0" w:color="000000"/>
              <w:bottom w:val="single" w:sz="6" w:space="0" w:color="000000"/>
              <w:end w:val="single" w:sz="12" w:space="0" w:color="000000"/>
            </w:tcBorders>
          </w:tcPr>
          <w:p>
            <w:pPr>
              <w:pStyle w:val="Normal"/>
              <w:jc w:val="center"/>
              <w:rPr>
                <w:b/>
                <w:sz w:val="32"/>
              </w:rPr>
            </w:pPr>
            <w:r>
              <w:rPr>
                <w:b/>
                <w:sz w:val="32"/>
              </w:rPr>
              <w:t>SETOR EXTERNO</w:t>
            </w:r>
          </w:p>
        </w:tc>
      </w:tr>
      <w:tr>
        <w:trPr>
          <w:trHeight w:val="240" w:hRule="atLeast"/>
        </w:trPr>
        <w:tc>
          <w:tcPr>
            <w:tcW w:w="866"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16"/>
              </w:rPr>
            </w:pPr>
            <w:r>
              <w:rPr>
                <w:b/>
                <w:sz w:val="16"/>
              </w:rPr>
            </w:r>
          </w:p>
        </w:tc>
        <w:tc>
          <w:tcPr>
            <w:tcW w:w="2427" w:type="dxa"/>
            <w:gridSpan w:val="4"/>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Contas Públicas</w:t>
            </w:r>
          </w:p>
        </w:tc>
        <w:tc>
          <w:tcPr>
            <w:tcW w:w="1213" w:type="dxa"/>
            <w:gridSpan w:val="3"/>
            <w:tcBorders>
              <w:top w:val="single" w:sz="6" w:space="0" w:color="000000"/>
              <w:start w:val="single" w:sz="6" w:space="0" w:color="000000"/>
            </w:tcBorders>
          </w:tcPr>
          <w:p>
            <w:pPr>
              <w:pStyle w:val="Normal"/>
              <w:jc w:val="center"/>
              <w:rPr>
                <w:b/>
                <w:sz w:val="18"/>
              </w:rPr>
            </w:pPr>
            <w:r>
              <w:rPr>
                <w:b/>
                <w:sz w:val="18"/>
              </w:rPr>
              <w:t>Receita do</w:t>
            </w:r>
          </w:p>
        </w:tc>
        <w:tc>
          <w:tcPr>
            <w:tcW w:w="1275" w:type="dxa"/>
            <w:gridSpan w:val="4"/>
            <w:tcBorders>
              <w:top w:val="single" w:sz="6" w:space="0" w:color="000000"/>
              <w:start w:val="single" w:sz="6" w:space="0" w:color="000000"/>
              <w:bottom w:val="single" w:sz="6" w:space="0" w:color="000000"/>
            </w:tcBorders>
          </w:tcPr>
          <w:p>
            <w:pPr>
              <w:pStyle w:val="Normal"/>
              <w:snapToGrid w:val="false"/>
              <w:jc w:val="center"/>
              <w:rPr>
                <w:b/>
                <w:sz w:val="18"/>
              </w:rPr>
            </w:pPr>
            <w:r>
              <w:rPr>
                <w:b/>
                <w:sz w:val="18"/>
              </w:rPr>
            </w:r>
          </w:p>
        </w:tc>
        <w:tc>
          <w:tcPr>
            <w:tcW w:w="1276" w:type="dxa"/>
            <w:gridSpan w:val="3"/>
            <w:tcBorders>
              <w:top w:val="single" w:sz="6" w:space="0" w:color="000000"/>
              <w:bottom w:val="single" w:sz="6" w:space="0" w:color="000000"/>
              <w:end w:val="single" w:sz="6" w:space="0" w:color="000000"/>
            </w:tcBorders>
          </w:tcPr>
          <w:p>
            <w:pPr>
              <w:pStyle w:val="Normal"/>
              <w:snapToGrid w:val="false"/>
              <w:jc w:val="center"/>
              <w:rPr>
                <w:b/>
                <w:sz w:val="18"/>
              </w:rPr>
            </w:pPr>
            <w:r>
              <w:rPr>
                <w:b/>
                <w:sz w:val="18"/>
              </w:rPr>
            </w:r>
          </w:p>
        </w:tc>
        <w:tc>
          <w:tcPr>
            <w:tcW w:w="1136" w:type="dxa"/>
            <w:gridSpan w:val="2"/>
            <w:tcBorders>
              <w:top w:val="single" w:sz="6" w:space="0" w:color="000000"/>
              <w:end w:val="single" w:sz="6" w:space="0" w:color="000000"/>
            </w:tcBorders>
          </w:tcPr>
          <w:p>
            <w:pPr>
              <w:pStyle w:val="Normal"/>
              <w:jc w:val="center"/>
              <w:rPr>
                <w:b/>
                <w:sz w:val="18"/>
              </w:rPr>
            </w:pPr>
            <w:r>
              <w:rPr>
                <w:b/>
                <w:sz w:val="18"/>
              </w:rPr>
              <w:t>Saldo</w:t>
            </w:r>
          </w:p>
        </w:tc>
        <w:tc>
          <w:tcPr>
            <w:tcW w:w="990" w:type="dxa"/>
            <w:gridSpan w:val="2"/>
            <w:tcBorders>
              <w:top w:val="single" w:sz="6" w:space="0" w:color="000000"/>
              <w:bottom w:val="single" w:sz="6" w:space="0" w:color="000000"/>
              <w:end w:val="single" w:sz="12" w:space="0" w:color="000000"/>
            </w:tcBorders>
          </w:tcPr>
          <w:p>
            <w:pPr>
              <w:pStyle w:val="Normal"/>
              <w:jc w:val="center"/>
              <w:rPr>
                <w:b/>
                <w:sz w:val="18"/>
              </w:rPr>
            </w:pPr>
            <w:r>
              <w:rPr>
                <w:b/>
                <w:sz w:val="18"/>
              </w:rPr>
              <w:t>Conta</w:t>
            </w:r>
          </w:p>
        </w:tc>
      </w:tr>
      <w:tr>
        <w:trPr/>
        <w:tc>
          <w:tcPr>
            <w:tcW w:w="866"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16"/>
              </w:rPr>
            </w:pPr>
            <w:r>
              <w:rPr>
                <w:b/>
                <w:sz w:val="16"/>
              </w:rPr>
            </w:r>
          </w:p>
        </w:tc>
        <w:tc>
          <w:tcPr>
            <w:tcW w:w="1213" w:type="dxa"/>
            <w:tcBorders>
              <w:start w:val="single" w:sz="6" w:space="0" w:color="000000"/>
              <w:bottom w:val="single" w:sz="6" w:space="0" w:color="000000"/>
              <w:end w:val="single" w:sz="6" w:space="0" w:color="000000"/>
            </w:tcBorders>
          </w:tcPr>
          <w:p>
            <w:pPr>
              <w:pStyle w:val="Normal"/>
              <w:jc w:val="center"/>
              <w:rPr>
                <w:b/>
                <w:sz w:val="18"/>
              </w:rPr>
            </w:pPr>
            <w:r>
              <w:rPr>
                <w:b/>
                <w:sz w:val="18"/>
              </w:rPr>
              <w:t>Primário</w:t>
            </w:r>
          </w:p>
        </w:tc>
        <w:tc>
          <w:tcPr>
            <w:tcW w:w="1213" w:type="dxa"/>
            <w:gridSpan w:val="2"/>
            <w:tcBorders>
              <w:start w:val="single" w:sz="6" w:space="0" w:color="000000"/>
              <w:bottom w:val="single" w:sz="6" w:space="0" w:color="000000"/>
              <w:end w:val="single" w:sz="6" w:space="0" w:color="000000"/>
            </w:tcBorders>
          </w:tcPr>
          <w:p>
            <w:pPr>
              <w:pStyle w:val="Normal"/>
              <w:jc w:val="center"/>
              <w:rPr>
                <w:b/>
                <w:sz w:val="18"/>
              </w:rPr>
            </w:pPr>
            <w:r>
              <w:rPr>
                <w:b/>
                <w:sz w:val="18"/>
              </w:rPr>
              <w:t>Nominal</w:t>
            </w:r>
          </w:p>
        </w:tc>
        <w:tc>
          <w:tcPr>
            <w:tcW w:w="1213" w:type="dxa"/>
            <w:gridSpan w:val="3"/>
            <w:tcBorders>
              <w:start w:val="single" w:sz="6" w:space="0" w:color="000000"/>
              <w:end w:val="single" w:sz="6" w:space="0" w:color="000000"/>
            </w:tcBorders>
          </w:tcPr>
          <w:p>
            <w:pPr>
              <w:pStyle w:val="Normal"/>
              <w:jc w:val="center"/>
              <w:rPr>
                <w:b/>
                <w:sz w:val="18"/>
              </w:rPr>
            </w:pPr>
            <w:r>
              <w:rPr>
                <w:b/>
                <w:sz w:val="18"/>
              </w:rPr>
              <w:t>Tesouro</w:t>
            </w:r>
          </w:p>
        </w:tc>
        <w:tc>
          <w:tcPr>
            <w:tcW w:w="1275" w:type="dxa"/>
            <w:gridSpan w:val="4"/>
            <w:tcBorders>
              <w:top w:val="single" w:sz="6" w:space="0" w:color="000000"/>
              <w:start w:val="single" w:sz="6" w:space="0" w:color="000000"/>
              <w:bottom w:val="single" w:sz="6" w:space="0" w:color="000000"/>
              <w:end w:val="single" w:sz="6" w:space="0" w:color="000000"/>
            </w:tcBorders>
          </w:tcPr>
          <w:p>
            <w:pPr>
              <w:pStyle w:val="Heading6"/>
              <w:ind w:hanging="0" w:start="0"/>
              <w:rPr/>
            </w:pPr>
            <w:r>
              <w:rPr/>
              <w:t>Exportações</w:t>
            </w:r>
          </w:p>
        </w:tc>
        <w:tc>
          <w:tcPr>
            <w:tcW w:w="1276" w:type="dxa"/>
            <w:gridSpan w:val="3"/>
            <w:tcBorders>
              <w:top w:val="single" w:sz="6" w:space="0" w:color="000000"/>
              <w:bottom w:val="single" w:sz="6" w:space="0" w:color="000000"/>
              <w:end w:val="single" w:sz="6" w:space="0" w:color="000000"/>
            </w:tcBorders>
          </w:tcPr>
          <w:p>
            <w:pPr>
              <w:pStyle w:val="Heading6"/>
              <w:ind w:hanging="0" w:start="0"/>
              <w:rPr/>
            </w:pPr>
            <w:r>
              <w:rPr/>
              <w:t>Importações</w:t>
            </w:r>
          </w:p>
        </w:tc>
        <w:tc>
          <w:tcPr>
            <w:tcW w:w="1137" w:type="dxa"/>
            <w:gridSpan w:val="3"/>
            <w:tcBorders>
              <w:bottom w:val="single" w:sz="6" w:space="0" w:color="000000"/>
              <w:end w:val="single" w:sz="6" w:space="0" w:color="000000"/>
            </w:tcBorders>
          </w:tcPr>
          <w:p>
            <w:pPr>
              <w:pStyle w:val="Heading6"/>
              <w:ind w:hanging="0" w:start="0"/>
              <w:rPr/>
            </w:pPr>
            <w:r>
              <w:rPr/>
              <w:t>Comercial</w:t>
            </w:r>
          </w:p>
        </w:tc>
        <w:tc>
          <w:tcPr>
            <w:tcW w:w="989" w:type="dxa"/>
            <w:gridSpan w:val="2"/>
            <w:tcBorders>
              <w:top w:val="single" w:sz="6" w:space="0" w:color="000000"/>
              <w:bottom w:val="single" w:sz="6" w:space="0" w:color="000000"/>
              <w:end w:val="single" w:sz="12" w:space="0" w:color="000000"/>
            </w:tcBorders>
          </w:tcPr>
          <w:p>
            <w:pPr>
              <w:pStyle w:val="Heading6"/>
              <w:ind w:hanging="0" w:start="0"/>
              <w:rPr/>
            </w:pPr>
            <w:r>
              <w:rPr/>
              <w:t>Corrente</w:t>
            </w:r>
          </w:p>
        </w:tc>
      </w:tr>
      <w:tr>
        <w:trPr>
          <w:trHeight w:val="340" w:hRule="exact"/>
        </w:trPr>
        <w:tc>
          <w:tcPr>
            <w:tcW w:w="866" w:type="dxa"/>
            <w:tcBorders>
              <w:top w:val="single" w:sz="6" w:space="0" w:color="000000"/>
              <w:start w:val="single" w:sz="12" w:space="0" w:color="000000"/>
              <w:end w:val="single" w:sz="6" w:space="0" w:color="000000"/>
            </w:tcBorders>
          </w:tcPr>
          <w:p>
            <w:pPr>
              <w:pStyle w:val="Normal"/>
              <w:snapToGrid w:val="false"/>
              <w:jc w:val="center"/>
              <w:rPr>
                <w:b/>
                <w:sz w:val="16"/>
              </w:rPr>
            </w:pPr>
            <w:r>
              <w:rPr>
                <w:b/>
                <w:sz w:val="16"/>
              </w:rPr>
            </w:r>
          </w:p>
        </w:tc>
        <w:tc>
          <w:tcPr>
            <w:tcW w:w="2427" w:type="dxa"/>
            <w:gridSpan w:val="4"/>
            <w:tcBorders>
              <w:top w:val="single" w:sz="6" w:space="0" w:color="000000"/>
              <w:start w:val="single" w:sz="6" w:space="0" w:color="000000"/>
              <w:bottom w:val="single" w:sz="6" w:space="0" w:color="000000"/>
            </w:tcBorders>
          </w:tcPr>
          <w:p>
            <w:pPr>
              <w:pStyle w:val="Normal"/>
              <w:jc w:val="center"/>
              <w:rPr>
                <w:b/>
                <w:sz w:val="16"/>
              </w:rPr>
            </w:pPr>
            <w:r>
              <w:rPr>
                <w:b/>
                <w:sz w:val="16"/>
              </w:rPr>
              <w:t>% PIB</w:t>
            </w:r>
          </w:p>
        </w:tc>
        <w:tc>
          <w:tcPr>
            <w:tcW w:w="1213" w:type="dxa"/>
            <w:gridSpan w:val="3"/>
            <w:tcBorders>
              <w:top w:val="single" w:sz="6" w:space="0" w:color="000000"/>
              <w:start w:val="single" w:sz="6" w:space="0" w:color="000000"/>
              <w:bottom w:val="single" w:sz="6" w:space="0" w:color="000000"/>
            </w:tcBorders>
          </w:tcPr>
          <w:p>
            <w:pPr>
              <w:pStyle w:val="Normal"/>
              <w:rPr/>
            </w:pPr>
            <w:r>
              <w:rPr>
                <w:b/>
                <w:sz w:val="14"/>
              </w:rPr>
              <w:t>R$ Bil.</w:t>
            </w:r>
            <w:r>
              <w:rPr>
                <w:sz w:val="14"/>
              </w:rPr>
              <w:t xml:space="preserve"> </w:t>
            </w:r>
            <w:r>
              <w:rPr>
                <w:b/>
                <w:sz w:val="14"/>
              </w:rPr>
              <w:t>-</w:t>
            </w:r>
            <w:r>
              <w:rPr>
                <w:sz w:val="14"/>
              </w:rPr>
              <w:t xml:space="preserve"> </w:t>
            </w:r>
            <w:r>
              <w:rPr>
                <w:b/>
                <w:sz w:val="14"/>
              </w:rPr>
              <w:t>Dez.98</w:t>
            </w:r>
          </w:p>
        </w:tc>
        <w:tc>
          <w:tcPr>
            <w:tcW w:w="3687" w:type="dxa"/>
            <w:gridSpan w:val="9"/>
            <w:tcBorders>
              <w:top w:val="single" w:sz="6" w:space="0" w:color="000000"/>
              <w:start w:val="single" w:sz="6" w:space="0" w:color="000000"/>
              <w:bottom w:val="single" w:sz="6" w:space="0" w:color="000000"/>
              <w:end w:val="single" w:sz="12" w:space="0" w:color="000000"/>
            </w:tcBorders>
          </w:tcPr>
          <w:p>
            <w:pPr>
              <w:pStyle w:val="Normal"/>
              <w:jc w:val="center"/>
              <w:rPr>
                <w:b/>
                <w:sz w:val="18"/>
              </w:rPr>
            </w:pPr>
            <w:r>
              <w:rPr>
                <w:b/>
                <w:sz w:val="16"/>
              </w:rPr>
              <w:t>US$ Bilhões</w:t>
            </w:r>
          </w:p>
        </w:tc>
        <w:tc>
          <w:tcPr>
            <w:tcW w:w="990" w:type="dxa"/>
            <w:gridSpan w:val="2"/>
            <w:tcBorders>
              <w:top w:val="single" w:sz="6" w:space="0" w:color="000000"/>
              <w:start w:val="single" w:sz="6" w:space="0" w:color="000000"/>
              <w:bottom w:val="single" w:sz="6" w:space="0" w:color="000000"/>
              <w:end w:val="single" w:sz="12" w:space="0" w:color="000000"/>
            </w:tcBorders>
          </w:tcPr>
          <w:p>
            <w:pPr>
              <w:pStyle w:val="Normal"/>
              <w:jc w:val="center"/>
              <w:rPr>
                <w:b/>
                <w:sz w:val="18"/>
              </w:rPr>
            </w:pPr>
            <w:r>
              <w:rPr>
                <w:b/>
                <w:sz w:val="18"/>
              </w:rPr>
              <w:t>% PIB</w:t>
            </w:r>
          </w:p>
        </w:tc>
      </w:tr>
      <w:tr>
        <w:trPr/>
        <w:tc>
          <w:tcPr>
            <w:tcW w:w="866" w:type="dxa"/>
            <w:tcBorders>
              <w:start w:val="single" w:sz="12" w:space="0" w:color="000000"/>
              <w:end w:val="single" w:sz="6" w:space="0" w:color="000000"/>
            </w:tcBorders>
          </w:tcPr>
          <w:p>
            <w:pPr>
              <w:pStyle w:val="Normal"/>
              <w:jc w:val="center"/>
              <w:rPr>
                <w:b/>
                <w:sz w:val="16"/>
              </w:rPr>
            </w:pPr>
            <w:r>
              <w:rPr>
                <w:b/>
                <w:sz w:val="16"/>
              </w:rPr>
              <w:t>1993</w:t>
            </w:r>
          </w:p>
        </w:tc>
        <w:tc>
          <w:tcPr>
            <w:tcW w:w="1223" w:type="dxa"/>
            <w:gridSpan w:val="2"/>
            <w:tcBorders>
              <w:start w:val="single" w:sz="6" w:space="0" w:color="000000"/>
            </w:tcBorders>
          </w:tcPr>
          <w:p>
            <w:pPr>
              <w:pStyle w:val="Normal"/>
              <w:jc w:val="center"/>
              <w:rPr>
                <w:sz w:val="18"/>
              </w:rPr>
            </w:pPr>
            <w:r>
              <w:rPr>
                <w:sz w:val="18"/>
              </w:rPr>
              <w:t>2.7</w:t>
            </w:r>
          </w:p>
        </w:tc>
        <w:tc>
          <w:tcPr>
            <w:tcW w:w="1213" w:type="dxa"/>
            <w:gridSpan w:val="3"/>
            <w:tcBorders/>
          </w:tcPr>
          <w:p>
            <w:pPr>
              <w:pStyle w:val="Normal"/>
              <w:jc w:val="center"/>
              <w:rPr>
                <w:sz w:val="18"/>
              </w:rPr>
            </w:pPr>
            <w:r>
              <w:rPr>
                <w:sz w:val="18"/>
              </w:rPr>
              <w:t>-58.2</w:t>
            </w:r>
          </w:p>
        </w:tc>
        <w:tc>
          <w:tcPr>
            <w:tcW w:w="1213" w:type="dxa"/>
            <w:gridSpan w:val="4"/>
            <w:tcBorders/>
          </w:tcPr>
          <w:p>
            <w:pPr>
              <w:pStyle w:val="Normal"/>
              <w:jc w:val="center"/>
              <w:rPr>
                <w:sz w:val="18"/>
              </w:rPr>
            </w:pPr>
            <w:r>
              <w:rPr>
                <w:sz w:val="18"/>
              </w:rPr>
              <w:t>69.3</w:t>
            </w:r>
          </w:p>
        </w:tc>
        <w:tc>
          <w:tcPr>
            <w:tcW w:w="1275" w:type="dxa"/>
            <w:gridSpan w:val="3"/>
            <w:tcBorders/>
          </w:tcPr>
          <w:p>
            <w:pPr>
              <w:pStyle w:val="Normal"/>
              <w:jc w:val="center"/>
              <w:rPr>
                <w:sz w:val="18"/>
              </w:rPr>
            </w:pPr>
            <w:r>
              <w:rPr>
                <w:sz w:val="18"/>
              </w:rPr>
              <w:t>38.5</w:t>
            </w:r>
          </w:p>
        </w:tc>
        <w:tc>
          <w:tcPr>
            <w:tcW w:w="1290" w:type="dxa"/>
            <w:gridSpan w:val="3"/>
            <w:tcBorders/>
          </w:tcPr>
          <w:p>
            <w:pPr>
              <w:pStyle w:val="Normal"/>
              <w:jc w:val="center"/>
              <w:rPr>
                <w:sz w:val="18"/>
              </w:rPr>
            </w:pPr>
            <w:r>
              <w:rPr>
                <w:sz w:val="18"/>
              </w:rPr>
              <w:t>25.6</w:t>
            </w:r>
          </w:p>
        </w:tc>
        <w:tc>
          <w:tcPr>
            <w:tcW w:w="1120" w:type="dxa"/>
            <w:gridSpan w:val="2"/>
            <w:tcBorders/>
          </w:tcPr>
          <w:p>
            <w:pPr>
              <w:pStyle w:val="Normal"/>
              <w:jc w:val="center"/>
              <w:rPr>
                <w:sz w:val="18"/>
              </w:rPr>
            </w:pPr>
            <w:r>
              <w:rPr>
                <w:sz w:val="18"/>
              </w:rPr>
              <w:t>13.2</w:t>
            </w:r>
          </w:p>
        </w:tc>
        <w:tc>
          <w:tcPr>
            <w:tcW w:w="992" w:type="dxa"/>
            <w:tcBorders>
              <w:end w:val="single" w:sz="12" w:space="0" w:color="000000"/>
            </w:tcBorders>
          </w:tcPr>
          <w:p>
            <w:pPr>
              <w:pStyle w:val="Normal"/>
              <w:jc w:val="center"/>
              <w:rPr>
                <w:sz w:val="18"/>
              </w:rPr>
            </w:pPr>
            <w:r>
              <w:rPr>
                <w:sz w:val="18"/>
              </w:rPr>
              <w:t>0.6</w:t>
            </w:r>
          </w:p>
        </w:tc>
      </w:tr>
      <w:tr>
        <w:trPr/>
        <w:tc>
          <w:tcPr>
            <w:tcW w:w="866" w:type="dxa"/>
            <w:tcBorders>
              <w:start w:val="single" w:sz="12" w:space="0" w:color="000000"/>
              <w:end w:val="single" w:sz="6" w:space="0" w:color="000000"/>
            </w:tcBorders>
          </w:tcPr>
          <w:p>
            <w:pPr>
              <w:pStyle w:val="Normal"/>
              <w:jc w:val="center"/>
              <w:rPr>
                <w:b/>
                <w:sz w:val="16"/>
              </w:rPr>
            </w:pPr>
            <w:r>
              <w:rPr>
                <w:b/>
                <w:sz w:val="16"/>
              </w:rPr>
              <w:t>1994</w:t>
            </w:r>
          </w:p>
        </w:tc>
        <w:tc>
          <w:tcPr>
            <w:tcW w:w="1223" w:type="dxa"/>
            <w:gridSpan w:val="2"/>
            <w:tcBorders>
              <w:start w:val="single" w:sz="6" w:space="0" w:color="000000"/>
            </w:tcBorders>
          </w:tcPr>
          <w:p>
            <w:pPr>
              <w:pStyle w:val="Normal"/>
              <w:jc w:val="center"/>
              <w:rPr>
                <w:sz w:val="18"/>
              </w:rPr>
            </w:pPr>
            <w:r>
              <w:rPr>
                <w:sz w:val="18"/>
              </w:rPr>
              <w:t>5.3</w:t>
            </w:r>
          </w:p>
        </w:tc>
        <w:tc>
          <w:tcPr>
            <w:tcW w:w="1213" w:type="dxa"/>
            <w:gridSpan w:val="3"/>
            <w:tcBorders/>
          </w:tcPr>
          <w:p>
            <w:pPr>
              <w:pStyle w:val="Normal"/>
              <w:jc w:val="center"/>
              <w:rPr>
                <w:sz w:val="18"/>
              </w:rPr>
            </w:pPr>
            <w:r>
              <w:rPr>
                <w:sz w:val="18"/>
              </w:rPr>
              <w:t>-45.2</w:t>
            </w:r>
          </w:p>
        </w:tc>
        <w:tc>
          <w:tcPr>
            <w:tcW w:w="1213" w:type="dxa"/>
            <w:gridSpan w:val="4"/>
            <w:tcBorders/>
          </w:tcPr>
          <w:p>
            <w:pPr>
              <w:pStyle w:val="Normal"/>
              <w:jc w:val="center"/>
              <w:rPr>
                <w:sz w:val="18"/>
              </w:rPr>
            </w:pPr>
            <w:r>
              <w:rPr>
                <w:sz w:val="18"/>
              </w:rPr>
              <w:t>92.8</w:t>
            </w:r>
          </w:p>
        </w:tc>
        <w:tc>
          <w:tcPr>
            <w:tcW w:w="1275" w:type="dxa"/>
            <w:gridSpan w:val="3"/>
            <w:tcBorders/>
          </w:tcPr>
          <w:p>
            <w:pPr>
              <w:pStyle w:val="Normal"/>
              <w:jc w:val="center"/>
              <w:rPr>
                <w:sz w:val="18"/>
              </w:rPr>
            </w:pPr>
            <w:r>
              <w:rPr>
                <w:sz w:val="18"/>
              </w:rPr>
              <w:t>43.6</w:t>
            </w:r>
          </w:p>
        </w:tc>
        <w:tc>
          <w:tcPr>
            <w:tcW w:w="1290" w:type="dxa"/>
            <w:gridSpan w:val="3"/>
            <w:tcBorders/>
          </w:tcPr>
          <w:p>
            <w:pPr>
              <w:pStyle w:val="Normal"/>
              <w:jc w:val="center"/>
              <w:rPr>
                <w:sz w:val="18"/>
              </w:rPr>
            </w:pPr>
            <w:r>
              <w:rPr>
                <w:sz w:val="18"/>
              </w:rPr>
              <w:t>33.2</w:t>
            </w:r>
          </w:p>
        </w:tc>
        <w:tc>
          <w:tcPr>
            <w:tcW w:w="1120" w:type="dxa"/>
            <w:gridSpan w:val="2"/>
            <w:tcBorders/>
          </w:tcPr>
          <w:p>
            <w:pPr>
              <w:pStyle w:val="Normal"/>
              <w:jc w:val="center"/>
              <w:rPr>
                <w:sz w:val="18"/>
              </w:rPr>
            </w:pPr>
            <w:r>
              <w:rPr>
                <w:sz w:val="18"/>
              </w:rPr>
              <w:t>10.4</w:t>
            </w:r>
          </w:p>
        </w:tc>
        <w:tc>
          <w:tcPr>
            <w:tcW w:w="992" w:type="dxa"/>
            <w:tcBorders>
              <w:end w:val="single" w:sz="12" w:space="0" w:color="000000"/>
            </w:tcBorders>
          </w:tcPr>
          <w:p>
            <w:pPr>
              <w:pStyle w:val="Normal"/>
              <w:jc w:val="center"/>
              <w:rPr>
                <w:sz w:val="18"/>
              </w:rPr>
            </w:pPr>
            <w:r>
              <w:rPr>
                <w:sz w:val="18"/>
              </w:rPr>
              <w:t>-0.3</w:t>
            </w:r>
          </w:p>
        </w:tc>
      </w:tr>
      <w:tr>
        <w:trPr/>
        <w:tc>
          <w:tcPr>
            <w:tcW w:w="866" w:type="dxa"/>
            <w:tcBorders>
              <w:start w:val="single" w:sz="12" w:space="0" w:color="000000"/>
              <w:end w:val="single" w:sz="6" w:space="0" w:color="000000"/>
            </w:tcBorders>
          </w:tcPr>
          <w:p>
            <w:pPr>
              <w:pStyle w:val="Normal"/>
              <w:jc w:val="center"/>
              <w:rPr>
                <w:b/>
                <w:sz w:val="16"/>
              </w:rPr>
            </w:pPr>
            <w:r>
              <w:rPr>
                <w:b/>
                <w:sz w:val="16"/>
              </w:rPr>
              <w:t>1995</w:t>
            </w:r>
          </w:p>
        </w:tc>
        <w:tc>
          <w:tcPr>
            <w:tcW w:w="1223" w:type="dxa"/>
            <w:gridSpan w:val="2"/>
            <w:tcBorders>
              <w:start w:val="single" w:sz="6" w:space="0" w:color="000000"/>
            </w:tcBorders>
          </w:tcPr>
          <w:p>
            <w:pPr>
              <w:pStyle w:val="Normal"/>
              <w:jc w:val="center"/>
              <w:rPr>
                <w:sz w:val="18"/>
              </w:rPr>
            </w:pPr>
            <w:r>
              <w:rPr>
                <w:sz w:val="18"/>
              </w:rPr>
              <w:t>0.4</w:t>
            </w:r>
          </w:p>
        </w:tc>
        <w:tc>
          <w:tcPr>
            <w:tcW w:w="1213" w:type="dxa"/>
            <w:gridSpan w:val="3"/>
            <w:tcBorders/>
          </w:tcPr>
          <w:p>
            <w:pPr>
              <w:pStyle w:val="Normal"/>
              <w:jc w:val="center"/>
              <w:rPr>
                <w:sz w:val="18"/>
              </w:rPr>
            </w:pPr>
            <w:r>
              <w:rPr>
                <w:sz w:val="18"/>
              </w:rPr>
              <w:t>-7.2</w:t>
            </w:r>
          </w:p>
        </w:tc>
        <w:tc>
          <w:tcPr>
            <w:tcW w:w="1213" w:type="dxa"/>
            <w:gridSpan w:val="4"/>
            <w:tcBorders/>
          </w:tcPr>
          <w:p>
            <w:pPr>
              <w:pStyle w:val="Normal"/>
              <w:jc w:val="center"/>
              <w:rPr>
                <w:sz w:val="18"/>
              </w:rPr>
            </w:pPr>
            <w:r>
              <w:rPr>
                <w:sz w:val="18"/>
              </w:rPr>
              <w:t>103.8</w:t>
            </w:r>
          </w:p>
        </w:tc>
        <w:tc>
          <w:tcPr>
            <w:tcW w:w="1275" w:type="dxa"/>
            <w:gridSpan w:val="3"/>
            <w:tcBorders/>
          </w:tcPr>
          <w:p>
            <w:pPr>
              <w:pStyle w:val="Normal"/>
              <w:jc w:val="center"/>
              <w:rPr>
                <w:sz w:val="18"/>
              </w:rPr>
            </w:pPr>
            <w:r>
              <w:rPr>
                <w:sz w:val="18"/>
              </w:rPr>
              <w:t>46.5</w:t>
            </w:r>
          </w:p>
        </w:tc>
        <w:tc>
          <w:tcPr>
            <w:tcW w:w="1290" w:type="dxa"/>
            <w:gridSpan w:val="3"/>
            <w:tcBorders/>
          </w:tcPr>
          <w:p>
            <w:pPr>
              <w:pStyle w:val="Normal"/>
              <w:jc w:val="center"/>
              <w:rPr>
                <w:sz w:val="18"/>
              </w:rPr>
            </w:pPr>
            <w:r>
              <w:rPr>
                <w:sz w:val="18"/>
              </w:rPr>
              <w:t>49.7</w:t>
            </w:r>
          </w:p>
        </w:tc>
        <w:tc>
          <w:tcPr>
            <w:tcW w:w="1120" w:type="dxa"/>
            <w:gridSpan w:val="2"/>
            <w:tcBorders/>
          </w:tcPr>
          <w:p>
            <w:pPr>
              <w:pStyle w:val="Normal"/>
              <w:jc w:val="center"/>
              <w:rPr>
                <w:sz w:val="18"/>
              </w:rPr>
            </w:pPr>
            <w:r>
              <w:rPr>
                <w:sz w:val="18"/>
              </w:rPr>
              <w:t>-3.1</w:t>
            </w:r>
          </w:p>
        </w:tc>
        <w:tc>
          <w:tcPr>
            <w:tcW w:w="992" w:type="dxa"/>
            <w:tcBorders>
              <w:end w:val="single" w:sz="12" w:space="0" w:color="000000"/>
            </w:tcBorders>
          </w:tcPr>
          <w:p>
            <w:pPr>
              <w:pStyle w:val="Normal"/>
              <w:jc w:val="center"/>
              <w:rPr>
                <w:sz w:val="18"/>
              </w:rPr>
            </w:pPr>
            <w:r>
              <w:rPr>
                <w:sz w:val="18"/>
              </w:rPr>
              <w:t>-2.5</w:t>
            </w:r>
          </w:p>
        </w:tc>
      </w:tr>
      <w:tr>
        <w:trPr/>
        <w:tc>
          <w:tcPr>
            <w:tcW w:w="866" w:type="dxa"/>
            <w:tcBorders>
              <w:start w:val="single" w:sz="12" w:space="0" w:color="000000"/>
              <w:end w:val="single" w:sz="6" w:space="0" w:color="000000"/>
            </w:tcBorders>
          </w:tcPr>
          <w:p>
            <w:pPr>
              <w:pStyle w:val="Normal"/>
              <w:jc w:val="center"/>
              <w:rPr>
                <w:b/>
                <w:sz w:val="16"/>
              </w:rPr>
            </w:pPr>
            <w:r>
              <w:rPr>
                <w:b/>
                <w:sz w:val="16"/>
              </w:rPr>
              <w:t>1996</w:t>
            </w:r>
          </w:p>
        </w:tc>
        <w:tc>
          <w:tcPr>
            <w:tcW w:w="1223" w:type="dxa"/>
            <w:gridSpan w:val="2"/>
            <w:tcBorders>
              <w:start w:val="single" w:sz="6" w:space="0" w:color="000000"/>
            </w:tcBorders>
          </w:tcPr>
          <w:p>
            <w:pPr>
              <w:pStyle w:val="Normal"/>
              <w:jc w:val="center"/>
              <w:rPr>
                <w:sz w:val="18"/>
              </w:rPr>
            </w:pPr>
            <w:r>
              <w:rPr>
                <w:sz w:val="18"/>
              </w:rPr>
              <w:t>-0.1</w:t>
            </w:r>
          </w:p>
        </w:tc>
        <w:tc>
          <w:tcPr>
            <w:tcW w:w="1213" w:type="dxa"/>
            <w:gridSpan w:val="3"/>
            <w:tcBorders/>
          </w:tcPr>
          <w:p>
            <w:pPr>
              <w:pStyle w:val="Normal"/>
              <w:jc w:val="center"/>
              <w:rPr>
                <w:sz w:val="18"/>
              </w:rPr>
            </w:pPr>
            <w:r>
              <w:rPr>
                <w:sz w:val="18"/>
              </w:rPr>
              <w:t>-5.9</w:t>
            </w:r>
          </w:p>
        </w:tc>
        <w:tc>
          <w:tcPr>
            <w:tcW w:w="1213" w:type="dxa"/>
            <w:gridSpan w:val="4"/>
            <w:tcBorders/>
          </w:tcPr>
          <w:p>
            <w:pPr>
              <w:pStyle w:val="Normal"/>
              <w:jc w:val="center"/>
              <w:rPr>
                <w:sz w:val="18"/>
              </w:rPr>
            </w:pPr>
            <w:r>
              <w:rPr>
                <w:sz w:val="18"/>
              </w:rPr>
              <w:t>104.5</w:t>
            </w:r>
          </w:p>
        </w:tc>
        <w:tc>
          <w:tcPr>
            <w:tcW w:w="1275" w:type="dxa"/>
            <w:gridSpan w:val="3"/>
            <w:tcBorders/>
          </w:tcPr>
          <w:p>
            <w:pPr>
              <w:pStyle w:val="Normal"/>
              <w:jc w:val="center"/>
              <w:rPr>
                <w:sz w:val="18"/>
              </w:rPr>
            </w:pPr>
            <w:r>
              <w:rPr>
                <w:sz w:val="18"/>
              </w:rPr>
              <w:t>47.8</w:t>
            </w:r>
          </w:p>
        </w:tc>
        <w:tc>
          <w:tcPr>
            <w:tcW w:w="1290" w:type="dxa"/>
            <w:gridSpan w:val="3"/>
            <w:tcBorders/>
          </w:tcPr>
          <w:p>
            <w:pPr>
              <w:pStyle w:val="Normal"/>
              <w:jc w:val="center"/>
              <w:rPr>
                <w:sz w:val="18"/>
              </w:rPr>
            </w:pPr>
            <w:r>
              <w:rPr>
                <w:sz w:val="18"/>
              </w:rPr>
              <w:t>53.3</w:t>
            </w:r>
          </w:p>
        </w:tc>
        <w:tc>
          <w:tcPr>
            <w:tcW w:w="1120" w:type="dxa"/>
            <w:gridSpan w:val="2"/>
            <w:tcBorders/>
          </w:tcPr>
          <w:p>
            <w:pPr>
              <w:pStyle w:val="Normal"/>
              <w:jc w:val="center"/>
              <w:rPr>
                <w:sz w:val="18"/>
              </w:rPr>
            </w:pPr>
            <w:r>
              <w:rPr>
                <w:sz w:val="18"/>
              </w:rPr>
              <w:t>-5.5</w:t>
            </w:r>
          </w:p>
        </w:tc>
        <w:tc>
          <w:tcPr>
            <w:tcW w:w="992" w:type="dxa"/>
            <w:tcBorders>
              <w:end w:val="single" w:sz="12" w:space="0" w:color="000000"/>
            </w:tcBorders>
          </w:tcPr>
          <w:p>
            <w:pPr>
              <w:pStyle w:val="Normal"/>
              <w:jc w:val="center"/>
              <w:rPr>
                <w:sz w:val="18"/>
              </w:rPr>
            </w:pPr>
            <w:r>
              <w:rPr>
                <w:sz w:val="18"/>
              </w:rPr>
              <w:t>-3.1</w:t>
            </w:r>
          </w:p>
        </w:tc>
      </w:tr>
      <w:tr>
        <w:trPr/>
        <w:tc>
          <w:tcPr>
            <w:tcW w:w="866" w:type="dxa"/>
            <w:tcBorders>
              <w:start w:val="single" w:sz="12" w:space="0" w:color="000000"/>
              <w:end w:val="single" w:sz="6" w:space="0" w:color="000000"/>
            </w:tcBorders>
          </w:tcPr>
          <w:p>
            <w:pPr>
              <w:pStyle w:val="Normal"/>
              <w:jc w:val="center"/>
              <w:rPr>
                <w:b/>
                <w:sz w:val="16"/>
              </w:rPr>
            </w:pPr>
            <w:r>
              <w:rPr>
                <w:b/>
                <w:sz w:val="16"/>
              </w:rPr>
              <w:t>1997</w:t>
            </w:r>
          </w:p>
        </w:tc>
        <w:tc>
          <w:tcPr>
            <w:tcW w:w="1223" w:type="dxa"/>
            <w:gridSpan w:val="2"/>
            <w:tcBorders>
              <w:start w:val="single" w:sz="6" w:space="0" w:color="000000"/>
            </w:tcBorders>
          </w:tcPr>
          <w:p>
            <w:pPr>
              <w:pStyle w:val="Normal"/>
              <w:jc w:val="center"/>
              <w:rPr>
                <w:sz w:val="18"/>
              </w:rPr>
            </w:pPr>
            <w:r>
              <w:rPr>
                <w:sz w:val="18"/>
              </w:rPr>
              <w:t>-0.9</w:t>
            </w:r>
          </w:p>
        </w:tc>
        <w:tc>
          <w:tcPr>
            <w:tcW w:w="1213" w:type="dxa"/>
            <w:gridSpan w:val="3"/>
            <w:tcBorders/>
          </w:tcPr>
          <w:p>
            <w:pPr>
              <w:pStyle w:val="Normal"/>
              <w:jc w:val="center"/>
              <w:rPr>
                <w:sz w:val="18"/>
              </w:rPr>
            </w:pPr>
            <w:r>
              <w:rPr>
                <w:sz w:val="18"/>
              </w:rPr>
              <w:t>-6.1</w:t>
            </w:r>
          </w:p>
        </w:tc>
        <w:tc>
          <w:tcPr>
            <w:tcW w:w="1213" w:type="dxa"/>
            <w:gridSpan w:val="4"/>
            <w:tcBorders/>
          </w:tcPr>
          <w:p>
            <w:pPr>
              <w:pStyle w:val="Normal"/>
              <w:jc w:val="center"/>
              <w:rPr>
                <w:sz w:val="18"/>
              </w:rPr>
            </w:pPr>
            <w:r>
              <w:rPr>
                <w:sz w:val="18"/>
              </w:rPr>
              <w:t>116.3</w:t>
            </w:r>
          </w:p>
        </w:tc>
        <w:tc>
          <w:tcPr>
            <w:tcW w:w="1275" w:type="dxa"/>
            <w:gridSpan w:val="3"/>
            <w:tcBorders/>
          </w:tcPr>
          <w:p>
            <w:pPr>
              <w:pStyle w:val="Normal"/>
              <w:jc w:val="center"/>
              <w:rPr>
                <w:sz w:val="18"/>
              </w:rPr>
            </w:pPr>
            <w:r>
              <w:rPr>
                <w:sz w:val="18"/>
              </w:rPr>
              <w:t>53.0</w:t>
            </w:r>
          </w:p>
        </w:tc>
        <w:tc>
          <w:tcPr>
            <w:tcW w:w="1290" w:type="dxa"/>
            <w:gridSpan w:val="3"/>
            <w:tcBorders/>
          </w:tcPr>
          <w:p>
            <w:pPr>
              <w:pStyle w:val="Normal"/>
              <w:jc w:val="center"/>
              <w:rPr>
                <w:sz w:val="18"/>
              </w:rPr>
            </w:pPr>
            <w:r>
              <w:rPr>
                <w:sz w:val="18"/>
              </w:rPr>
              <w:t>61.3</w:t>
            </w:r>
          </w:p>
        </w:tc>
        <w:tc>
          <w:tcPr>
            <w:tcW w:w="1120" w:type="dxa"/>
            <w:gridSpan w:val="2"/>
            <w:tcBorders/>
          </w:tcPr>
          <w:p>
            <w:pPr>
              <w:pStyle w:val="Normal"/>
              <w:jc w:val="center"/>
              <w:rPr>
                <w:sz w:val="18"/>
              </w:rPr>
            </w:pPr>
            <w:r>
              <w:rPr>
                <w:sz w:val="18"/>
              </w:rPr>
              <w:t>-8.3</w:t>
            </w:r>
          </w:p>
        </w:tc>
        <w:tc>
          <w:tcPr>
            <w:tcW w:w="992" w:type="dxa"/>
            <w:tcBorders>
              <w:end w:val="single" w:sz="12" w:space="0" w:color="000000"/>
            </w:tcBorders>
          </w:tcPr>
          <w:p>
            <w:pPr>
              <w:pStyle w:val="Normal"/>
              <w:jc w:val="center"/>
              <w:rPr>
                <w:sz w:val="18"/>
              </w:rPr>
            </w:pPr>
            <w:r>
              <w:rPr>
                <w:sz w:val="18"/>
              </w:rPr>
              <w:t>-3.8</w:t>
            </w:r>
          </w:p>
        </w:tc>
      </w:tr>
      <w:tr>
        <w:trPr/>
        <w:tc>
          <w:tcPr>
            <w:tcW w:w="866" w:type="dxa"/>
            <w:tcBorders>
              <w:start w:val="single" w:sz="12" w:space="0" w:color="000000"/>
              <w:end w:val="single" w:sz="6" w:space="0" w:color="000000"/>
            </w:tcBorders>
          </w:tcPr>
          <w:p>
            <w:pPr>
              <w:pStyle w:val="Normal"/>
              <w:jc w:val="center"/>
              <w:rPr>
                <w:b/>
                <w:sz w:val="16"/>
              </w:rPr>
            </w:pPr>
            <w:r>
              <w:rPr>
                <w:b/>
                <w:sz w:val="16"/>
              </w:rPr>
              <w:t>1998</w:t>
            </w:r>
          </w:p>
        </w:tc>
        <w:tc>
          <w:tcPr>
            <w:tcW w:w="1223" w:type="dxa"/>
            <w:gridSpan w:val="2"/>
            <w:tcBorders>
              <w:start w:val="single" w:sz="6" w:space="0" w:color="000000"/>
            </w:tcBorders>
          </w:tcPr>
          <w:p>
            <w:pPr>
              <w:pStyle w:val="Normal"/>
              <w:jc w:val="center"/>
              <w:rPr>
                <w:sz w:val="18"/>
              </w:rPr>
            </w:pPr>
            <w:r>
              <w:rPr>
                <w:sz w:val="18"/>
              </w:rPr>
              <w:t>0.1</w:t>
            </w:r>
          </w:p>
        </w:tc>
        <w:tc>
          <w:tcPr>
            <w:tcW w:w="1213" w:type="dxa"/>
            <w:gridSpan w:val="3"/>
            <w:tcBorders/>
          </w:tcPr>
          <w:p>
            <w:pPr>
              <w:pStyle w:val="Normal"/>
              <w:jc w:val="center"/>
              <w:rPr>
                <w:sz w:val="18"/>
              </w:rPr>
            </w:pPr>
            <w:r>
              <w:rPr>
                <w:sz w:val="18"/>
              </w:rPr>
              <w:t>-8.0</w:t>
            </w:r>
          </w:p>
        </w:tc>
        <w:tc>
          <w:tcPr>
            <w:tcW w:w="1213" w:type="dxa"/>
            <w:gridSpan w:val="4"/>
            <w:tcBorders/>
          </w:tcPr>
          <w:p>
            <w:pPr>
              <w:pStyle w:val="Normal"/>
              <w:jc w:val="center"/>
              <w:rPr>
                <w:sz w:val="18"/>
              </w:rPr>
            </w:pPr>
            <w:r>
              <w:rPr>
                <w:sz w:val="18"/>
              </w:rPr>
              <w:t>133.2</w:t>
            </w:r>
          </w:p>
        </w:tc>
        <w:tc>
          <w:tcPr>
            <w:tcW w:w="1275" w:type="dxa"/>
            <w:gridSpan w:val="3"/>
            <w:tcBorders/>
          </w:tcPr>
          <w:p>
            <w:pPr>
              <w:pStyle w:val="Normal"/>
              <w:jc w:val="center"/>
              <w:rPr>
                <w:sz w:val="18"/>
              </w:rPr>
            </w:pPr>
            <w:r>
              <w:rPr>
                <w:sz w:val="18"/>
              </w:rPr>
              <w:t>51.1</w:t>
            </w:r>
          </w:p>
        </w:tc>
        <w:tc>
          <w:tcPr>
            <w:tcW w:w="1290" w:type="dxa"/>
            <w:gridSpan w:val="3"/>
            <w:tcBorders/>
          </w:tcPr>
          <w:p>
            <w:pPr>
              <w:pStyle w:val="Normal"/>
              <w:jc w:val="center"/>
              <w:rPr>
                <w:sz w:val="18"/>
              </w:rPr>
            </w:pPr>
            <w:r>
              <w:rPr>
                <w:sz w:val="18"/>
              </w:rPr>
              <w:t>57.6</w:t>
            </w:r>
          </w:p>
        </w:tc>
        <w:tc>
          <w:tcPr>
            <w:tcW w:w="1120" w:type="dxa"/>
            <w:gridSpan w:val="2"/>
            <w:tcBorders/>
          </w:tcPr>
          <w:p>
            <w:pPr>
              <w:pStyle w:val="Normal"/>
              <w:jc w:val="center"/>
              <w:rPr>
                <w:sz w:val="18"/>
              </w:rPr>
            </w:pPr>
            <w:r>
              <w:rPr>
                <w:sz w:val="18"/>
              </w:rPr>
              <w:t>-6.5</w:t>
            </w:r>
          </w:p>
        </w:tc>
        <w:tc>
          <w:tcPr>
            <w:tcW w:w="992" w:type="dxa"/>
            <w:tcBorders>
              <w:end w:val="single" w:sz="12" w:space="0" w:color="000000"/>
            </w:tcBorders>
          </w:tcPr>
          <w:p>
            <w:pPr>
              <w:pStyle w:val="Normal"/>
              <w:jc w:val="center"/>
              <w:rPr>
                <w:sz w:val="18"/>
              </w:rPr>
            </w:pPr>
            <w:r>
              <w:rPr>
                <w:sz w:val="18"/>
              </w:rPr>
              <w:t>-4.3</w:t>
            </w:r>
          </w:p>
        </w:tc>
      </w:tr>
      <w:tr>
        <w:trPr/>
        <w:tc>
          <w:tcPr>
            <w:tcW w:w="866" w:type="dxa"/>
            <w:tcBorders>
              <w:start w:val="single" w:sz="12" w:space="0" w:color="000000"/>
              <w:end w:val="single" w:sz="6" w:space="0" w:color="000000"/>
            </w:tcBorders>
          </w:tcPr>
          <w:p>
            <w:pPr>
              <w:pStyle w:val="Normal"/>
              <w:jc w:val="center"/>
              <w:rPr>
                <w:b/>
                <w:sz w:val="16"/>
              </w:rPr>
            </w:pPr>
            <w:r>
              <w:rPr>
                <w:b/>
                <w:sz w:val="16"/>
              </w:rPr>
              <w:t>1999</w:t>
            </w:r>
          </w:p>
        </w:tc>
        <w:tc>
          <w:tcPr>
            <w:tcW w:w="1223" w:type="dxa"/>
            <w:gridSpan w:val="2"/>
            <w:tcBorders>
              <w:start w:val="single" w:sz="6" w:space="0" w:color="000000"/>
            </w:tcBorders>
          </w:tcPr>
          <w:p>
            <w:pPr>
              <w:pStyle w:val="Normal"/>
              <w:jc w:val="center"/>
              <w:rPr>
                <w:sz w:val="18"/>
              </w:rPr>
            </w:pPr>
            <w:r>
              <w:rPr>
                <w:sz w:val="18"/>
              </w:rPr>
              <w:t>3.1</w:t>
            </w:r>
          </w:p>
        </w:tc>
        <w:tc>
          <w:tcPr>
            <w:tcW w:w="1213" w:type="dxa"/>
            <w:gridSpan w:val="3"/>
            <w:tcBorders/>
          </w:tcPr>
          <w:p>
            <w:pPr>
              <w:pStyle w:val="Normal"/>
              <w:jc w:val="center"/>
              <w:rPr>
                <w:sz w:val="18"/>
              </w:rPr>
            </w:pPr>
            <w:r>
              <w:rPr>
                <w:sz w:val="18"/>
              </w:rPr>
              <w:t>-10.0</w:t>
            </w:r>
          </w:p>
        </w:tc>
        <w:tc>
          <w:tcPr>
            <w:tcW w:w="1213" w:type="dxa"/>
            <w:gridSpan w:val="4"/>
            <w:tcBorders/>
          </w:tcPr>
          <w:p>
            <w:pPr>
              <w:pStyle w:val="Normal"/>
              <w:jc w:val="center"/>
              <w:rPr>
                <w:sz w:val="18"/>
              </w:rPr>
            </w:pPr>
            <w:r>
              <w:rPr>
                <w:sz w:val="18"/>
              </w:rPr>
              <w:t>145.7</w:t>
            </w:r>
          </w:p>
        </w:tc>
        <w:tc>
          <w:tcPr>
            <w:tcW w:w="1275" w:type="dxa"/>
            <w:gridSpan w:val="3"/>
            <w:tcBorders/>
          </w:tcPr>
          <w:p>
            <w:pPr>
              <w:pStyle w:val="Normal"/>
              <w:jc w:val="center"/>
              <w:rPr>
                <w:sz w:val="18"/>
              </w:rPr>
            </w:pPr>
            <w:r>
              <w:rPr>
                <w:sz w:val="18"/>
              </w:rPr>
              <w:t>48.0</w:t>
            </w:r>
          </w:p>
        </w:tc>
        <w:tc>
          <w:tcPr>
            <w:tcW w:w="1290" w:type="dxa"/>
            <w:gridSpan w:val="3"/>
            <w:tcBorders/>
          </w:tcPr>
          <w:p>
            <w:pPr>
              <w:pStyle w:val="Normal"/>
              <w:jc w:val="center"/>
              <w:rPr>
                <w:sz w:val="18"/>
              </w:rPr>
            </w:pPr>
            <w:r>
              <w:rPr>
                <w:sz w:val="18"/>
              </w:rPr>
              <w:t>49.2</w:t>
            </w:r>
          </w:p>
        </w:tc>
        <w:tc>
          <w:tcPr>
            <w:tcW w:w="1120" w:type="dxa"/>
            <w:gridSpan w:val="2"/>
            <w:tcBorders/>
          </w:tcPr>
          <w:p>
            <w:pPr>
              <w:pStyle w:val="Normal"/>
              <w:jc w:val="center"/>
              <w:rPr>
                <w:sz w:val="18"/>
              </w:rPr>
            </w:pPr>
            <w:r>
              <w:rPr>
                <w:sz w:val="18"/>
              </w:rPr>
              <w:t>-1.2</w:t>
            </w:r>
          </w:p>
        </w:tc>
        <w:tc>
          <w:tcPr>
            <w:tcW w:w="992" w:type="dxa"/>
            <w:tcBorders>
              <w:end w:val="single" w:sz="12" w:space="0" w:color="000000"/>
            </w:tcBorders>
          </w:tcPr>
          <w:p>
            <w:pPr>
              <w:pStyle w:val="Normal"/>
              <w:jc w:val="center"/>
              <w:rPr>
                <w:sz w:val="18"/>
              </w:rPr>
            </w:pPr>
            <w:r>
              <w:rPr>
                <w:sz w:val="18"/>
              </w:rPr>
              <w:t>-4.4</w:t>
            </w:r>
          </w:p>
        </w:tc>
      </w:tr>
      <w:tr>
        <w:trPr/>
        <w:tc>
          <w:tcPr>
            <w:tcW w:w="866" w:type="dxa"/>
            <w:tcBorders>
              <w:start w:val="single" w:sz="12" w:space="0" w:color="000000"/>
              <w:bottom w:val="single" w:sz="12" w:space="0" w:color="000000"/>
              <w:end w:val="single" w:sz="6" w:space="0" w:color="000000"/>
            </w:tcBorders>
          </w:tcPr>
          <w:p>
            <w:pPr>
              <w:pStyle w:val="Normal"/>
              <w:jc w:val="center"/>
              <w:rPr>
                <w:b/>
                <w:sz w:val="16"/>
              </w:rPr>
            </w:pPr>
            <w:r>
              <w:rPr>
                <w:b/>
                <w:sz w:val="16"/>
              </w:rPr>
              <w:t>2000</w:t>
            </w:r>
          </w:p>
        </w:tc>
        <w:tc>
          <w:tcPr>
            <w:tcW w:w="1223" w:type="dxa"/>
            <w:gridSpan w:val="2"/>
            <w:tcBorders>
              <w:start w:val="single" w:sz="6" w:space="0" w:color="000000"/>
              <w:bottom w:val="single" w:sz="12" w:space="0" w:color="000000"/>
            </w:tcBorders>
          </w:tcPr>
          <w:p>
            <w:pPr>
              <w:pStyle w:val="Normal"/>
              <w:jc w:val="center"/>
              <w:rPr>
                <w:sz w:val="18"/>
              </w:rPr>
            </w:pPr>
            <w:r>
              <w:rPr>
                <w:sz w:val="18"/>
              </w:rPr>
              <w:t>3.3</w:t>
            </w:r>
          </w:p>
        </w:tc>
        <w:tc>
          <w:tcPr>
            <w:tcW w:w="1213" w:type="dxa"/>
            <w:gridSpan w:val="3"/>
            <w:tcBorders>
              <w:bottom w:val="single" w:sz="12" w:space="0" w:color="000000"/>
            </w:tcBorders>
          </w:tcPr>
          <w:p>
            <w:pPr>
              <w:pStyle w:val="Normal"/>
              <w:jc w:val="center"/>
              <w:rPr>
                <w:sz w:val="18"/>
              </w:rPr>
            </w:pPr>
            <w:r>
              <w:rPr>
                <w:sz w:val="18"/>
              </w:rPr>
              <w:t>-3.1</w:t>
            </w:r>
          </w:p>
        </w:tc>
        <w:tc>
          <w:tcPr>
            <w:tcW w:w="1213" w:type="dxa"/>
            <w:gridSpan w:val="4"/>
            <w:tcBorders>
              <w:bottom w:val="single" w:sz="12" w:space="0" w:color="000000"/>
            </w:tcBorders>
          </w:tcPr>
          <w:p>
            <w:pPr>
              <w:pStyle w:val="Normal"/>
              <w:jc w:val="center"/>
              <w:rPr>
                <w:sz w:val="18"/>
              </w:rPr>
            </w:pPr>
            <w:r>
              <w:rPr>
                <w:sz w:val="18"/>
              </w:rPr>
              <w:t>156.9</w:t>
            </w:r>
          </w:p>
        </w:tc>
        <w:tc>
          <w:tcPr>
            <w:tcW w:w="1275" w:type="dxa"/>
            <w:gridSpan w:val="3"/>
            <w:tcBorders>
              <w:bottom w:val="single" w:sz="12" w:space="0" w:color="000000"/>
            </w:tcBorders>
          </w:tcPr>
          <w:p>
            <w:pPr>
              <w:pStyle w:val="Normal"/>
              <w:jc w:val="center"/>
              <w:rPr>
                <w:sz w:val="18"/>
              </w:rPr>
            </w:pPr>
            <w:r>
              <w:rPr>
                <w:sz w:val="18"/>
              </w:rPr>
              <w:t>55.0</w:t>
            </w:r>
          </w:p>
        </w:tc>
        <w:tc>
          <w:tcPr>
            <w:tcW w:w="1290" w:type="dxa"/>
            <w:gridSpan w:val="3"/>
            <w:tcBorders>
              <w:bottom w:val="single" w:sz="12" w:space="0" w:color="000000"/>
            </w:tcBorders>
          </w:tcPr>
          <w:p>
            <w:pPr>
              <w:pStyle w:val="Normal"/>
              <w:jc w:val="center"/>
              <w:rPr>
                <w:sz w:val="18"/>
              </w:rPr>
            </w:pPr>
            <w:r>
              <w:rPr>
                <w:sz w:val="18"/>
              </w:rPr>
              <w:t>52.0</w:t>
            </w:r>
          </w:p>
        </w:tc>
        <w:tc>
          <w:tcPr>
            <w:tcW w:w="1120" w:type="dxa"/>
            <w:gridSpan w:val="2"/>
            <w:tcBorders>
              <w:bottom w:val="single" w:sz="12" w:space="0" w:color="000000"/>
            </w:tcBorders>
          </w:tcPr>
          <w:p>
            <w:pPr>
              <w:pStyle w:val="Normal"/>
              <w:jc w:val="center"/>
              <w:rPr>
                <w:sz w:val="18"/>
              </w:rPr>
            </w:pPr>
            <w:r>
              <w:rPr>
                <w:sz w:val="18"/>
              </w:rPr>
              <w:t>3.0</w:t>
            </w:r>
          </w:p>
        </w:tc>
        <w:tc>
          <w:tcPr>
            <w:tcW w:w="992" w:type="dxa"/>
            <w:tcBorders>
              <w:bottom w:val="single" w:sz="12" w:space="0" w:color="000000"/>
              <w:end w:val="single" w:sz="12" w:space="0" w:color="000000"/>
            </w:tcBorders>
          </w:tcPr>
          <w:p>
            <w:pPr>
              <w:pStyle w:val="Normal"/>
              <w:jc w:val="center"/>
              <w:rPr>
                <w:sz w:val="18"/>
              </w:rPr>
            </w:pPr>
            <w:r>
              <w:rPr>
                <w:sz w:val="18"/>
              </w:rPr>
              <w:t>-3.5</w:t>
            </w:r>
          </w:p>
        </w:tc>
      </w:tr>
    </w:tbl>
    <w:p>
      <w:pPr>
        <w:pStyle w:val="Normal"/>
        <w:rPr/>
      </w:pPr>
      <w:r>
        <w:rPr/>
      </w:r>
    </w:p>
    <w:p>
      <w:pPr>
        <w:pStyle w:val="Normal"/>
        <w:rPr/>
      </w:pPr>
      <w:r>
        <w:rPr/>
      </w:r>
    </w:p>
    <w:tbl>
      <w:tblPr>
        <w:tblW w:w="9888" w:type="dxa"/>
        <w:jc w:val="start"/>
        <w:tblInd w:w="0" w:type="dxa"/>
        <w:tblLayout w:type="fixed"/>
        <w:tblCellMar>
          <w:top w:w="0" w:type="dxa"/>
          <w:start w:w="113" w:type="dxa"/>
          <w:bottom w:w="0" w:type="dxa"/>
          <w:end w:w="113" w:type="dxa"/>
        </w:tblCellMar>
      </w:tblPr>
      <w:tblGrid>
        <w:gridCol w:w="680"/>
        <w:gridCol w:w="426"/>
        <w:gridCol w:w="790"/>
        <w:gridCol w:w="769"/>
        <w:gridCol w:w="992"/>
        <w:gridCol w:w="825"/>
        <w:gridCol w:w="778"/>
        <w:gridCol w:w="807"/>
        <w:gridCol w:w="702"/>
        <w:gridCol w:w="760"/>
        <w:gridCol w:w="744"/>
        <w:gridCol w:w="762"/>
        <w:gridCol w:w="2"/>
        <w:gridCol w:w="849"/>
        <w:gridCol w:w="2"/>
      </w:tblGrid>
      <w:tr>
        <w:trPr/>
        <w:tc>
          <w:tcPr>
            <w:tcW w:w="680" w:type="dxa"/>
            <w:tcBorders>
              <w:top w:val="single" w:sz="12" w:space="0" w:color="000000"/>
              <w:start w:val="single" w:sz="12" w:space="0" w:color="000000"/>
            </w:tcBorders>
          </w:tcPr>
          <w:p>
            <w:pPr>
              <w:pStyle w:val="Normal"/>
              <w:snapToGrid w:val="false"/>
              <w:jc w:val="center"/>
              <w:rPr>
                <w:b/>
                <w:sz w:val="16"/>
              </w:rPr>
            </w:pPr>
            <w:r>
              <w:rPr>
                <w:b/>
                <w:sz w:val="16"/>
              </w:rPr>
            </w:r>
          </w:p>
        </w:tc>
        <w:tc>
          <w:tcPr>
            <w:tcW w:w="426" w:type="dxa"/>
            <w:tcBorders>
              <w:top w:val="single" w:sz="12" w:space="0" w:color="000000"/>
              <w:end w:val="single" w:sz="6" w:space="0" w:color="000000"/>
            </w:tcBorders>
          </w:tcPr>
          <w:p>
            <w:pPr>
              <w:pStyle w:val="Normal"/>
              <w:snapToGrid w:val="false"/>
              <w:rPr>
                <w:b/>
                <w:sz w:val="14"/>
              </w:rPr>
            </w:pPr>
            <w:r>
              <w:rPr>
                <w:b/>
                <w:sz w:val="14"/>
              </w:rPr>
            </w:r>
          </w:p>
        </w:tc>
        <w:tc>
          <w:tcPr>
            <w:tcW w:w="2551" w:type="dxa"/>
            <w:gridSpan w:val="3"/>
            <w:tcBorders>
              <w:top w:val="single" w:sz="12" w:space="0" w:color="000000"/>
              <w:bottom w:val="single" w:sz="6" w:space="0" w:color="000000"/>
              <w:end w:val="single" w:sz="6" w:space="0" w:color="000000"/>
            </w:tcBorders>
          </w:tcPr>
          <w:p>
            <w:pPr>
              <w:pStyle w:val="Normal"/>
              <w:jc w:val="center"/>
              <w:rPr>
                <w:b/>
                <w:sz w:val="18"/>
              </w:rPr>
            </w:pPr>
            <w:r>
              <w:rPr>
                <w:b/>
                <w:sz w:val="18"/>
              </w:rPr>
              <w:t>Inflação</w:t>
            </w:r>
          </w:p>
          <w:p>
            <w:pPr>
              <w:pStyle w:val="Normal"/>
              <w:jc w:val="center"/>
              <w:rPr>
                <w:b/>
                <w:sz w:val="18"/>
              </w:rPr>
            </w:pPr>
            <w:r>
              <w:rPr>
                <w:b/>
                <w:sz w:val="18"/>
              </w:rPr>
              <w:t>IPCA-IBGE</w:t>
            </w:r>
          </w:p>
        </w:tc>
        <w:tc>
          <w:tcPr>
            <w:tcW w:w="2410" w:type="dxa"/>
            <w:gridSpan w:val="3"/>
            <w:tcBorders>
              <w:top w:val="single" w:sz="12" w:space="0" w:color="000000"/>
              <w:start w:val="single" w:sz="6" w:space="0" w:color="000000"/>
              <w:bottom w:val="single" w:sz="6" w:space="0" w:color="000000"/>
              <w:end w:val="single" w:sz="6" w:space="0" w:color="000000"/>
            </w:tcBorders>
          </w:tcPr>
          <w:p>
            <w:pPr>
              <w:pStyle w:val="Normal"/>
              <w:jc w:val="center"/>
              <w:rPr>
                <w:b/>
                <w:sz w:val="18"/>
              </w:rPr>
            </w:pPr>
            <w:r>
              <w:rPr>
                <w:b/>
                <w:sz w:val="18"/>
              </w:rPr>
              <w:t>Juros Nominais</w:t>
            </w:r>
          </w:p>
        </w:tc>
        <w:tc>
          <w:tcPr>
            <w:tcW w:w="2968" w:type="dxa"/>
            <w:gridSpan w:val="4"/>
            <w:tcBorders>
              <w:top w:val="single" w:sz="12" w:space="0" w:color="000000"/>
              <w:start w:val="single" w:sz="6" w:space="0" w:color="000000"/>
              <w:bottom w:val="single" w:sz="6" w:space="0" w:color="000000"/>
              <w:end w:val="single" w:sz="6" w:space="0" w:color="000000"/>
            </w:tcBorders>
          </w:tcPr>
          <w:p>
            <w:pPr>
              <w:pStyle w:val="Normal"/>
              <w:jc w:val="center"/>
              <w:rPr>
                <w:b/>
                <w:sz w:val="18"/>
              </w:rPr>
            </w:pPr>
            <w:r>
              <w:rPr>
                <w:b/>
                <w:sz w:val="18"/>
              </w:rPr>
              <w:t>Câmbio</w:t>
            </w:r>
          </w:p>
        </w:tc>
        <w:tc>
          <w:tcPr>
            <w:tcW w:w="851" w:type="dxa"/>
            <w:gridSpan w:val="2"/>
            <w:tcBorders>
              <w:top w:val="single" w:sz="12" w:space="0" w:color="000000"/>
              <w:start w:val="single" w:sz="6" w:space="0" w:color="000000"/>
              <w:bottom w:val="single" w:sz="6" w:space="0" w:color="000000"/>
              <w:end w:val="single" w:sz="12" w:space="0" w:color="000000"/>
            </w:tcBorders>
          </w:tcPr>
          <w:p>
            <w:pPr>
              <w:pStyle w:val="Normal"/>
              <w:jc w:val="center"/>
              <w:rPr>
                <w:b/>
                <w:sz w:val="18"/>
              </w:rPr>
            </w:pPr>
            <w:r>
              <w:rPr>
                <w:b/>
                <w:sz w:val="18"/>
              </w:rPr>
              <w:t>Juro Real</w:t>
            </w:r>
          </w:p>
        </w:tc>
      </w:tr>
      <w:tr>
        <w:trPr/>
        <w:tc>
          <w:tcPr>
            <w:tcW w:w="680" w:type="dxa"/>
            <w:tcBorders>
              <w:start w:val="single" w:sz="12" w:space="0" w:color="000000"/>
            </w:tcBorders>
          </w:tcPr>
          <w:p>
            <w:pPr>
              <w:pStyle w:val="Normal"/>
              <w:snapToGrid w:val="false"/>
              <w:jc w:val="center"/>
              <w:rPr>
                <w:b/>
                <w:sz w:val="14"/>
              </w:rPr>
            </w:pPr>
            <w:r>
              <w:rPr>
                <w:b/>
                <w:sz w:val="14"/>
              </w:rPr>
            </w:r>
          </w:p>
        </w:tc>
        <w:tc>
          <w:tcPr>
            <w:tcW w:w="426" w:type="dxa"/>
            <w:tcBorders>
              <w:bottom w:val="single" w:sz="6" w:space="0" w:color="000000"/>
              <w:end w:val="single" w:sz="6" w:space="0" w:color="000000"/>
            </w:tcBorders>
          </w:tcPr>
          <w:p>
            <w:pPr>
              <w:pStyle w:val="Normal"/>
              <w:snapToGrid w:val="false"/>
              <w:ind w:hanging="708" w:start="708" w:end="0"/>
              <w:rPr>
                <w:b/>
                <w:sz w:val="14"/>
              </w:rPr>
            </w:pPr>
            <w:r>
              <w:rPr>
                <w:b/>
                <w:sz w:val="14"/>
              </w:rPr>
            </w:r>
          </w:p>
        </w:tc>
        <w:tc>
          <w:tcPr>
            <w:tcW w:w="790" w:type="dxa"/>
            <w:tcBorders>
              <w:top w:val="single" w:sz="6" w:space="0" w:color="000000"/>
              <w:end w:val="single" w:sz="6" w:space="0" w:color="000000"/>
            </w:tcBorders>
          </w:tcPr>
          <w:p>
            <w:pPr>
              <w:pStyle w:val="Normal"/>
              <w:jc w:val="center"/>
              <w:rPr>
                <w:sz w:val="14"/>
              </w:rPr>
            </w:pPr>
            <w:r>
              <w:rPr>
                <w:sz w:val="14"/>
              </w:rPr>
              <w:t>% ao mês</w:t>
            </w:r>
          </w:p>
        </w:tc>
        <w:tc>
          <w:tcPr>
            <w:tcW w:w="769" w:type="dxa"/>
            <w:tcBorders>
              <w:top w:val="single" w:sz="6" w:space="0" w:color="000000"/>
              <w:start w:val="single" w:sz="6" w:space="0" w:color="000000"/>
              <w:end w:val="single" w:sz="6" w:space="0" w:color="000000"/>
            </w:tcBorders>
          </w:tcPr>
          <w:p>
            <w:pPr>
              <w:pStyle w:val="Normal"/>
              <w:jc w:val="center"/>
              <w:rPr>
                <w:sz w:val="14"/>
              </w:rPr>
            </w:pPr>
            <w:r>
              <w:rPr>
                <w:sz w:val="14"/>
              </w:rPr>
              <w:t>% acum.     12 meses</w:t>
            </w:r>
          </w:p>
        </w:tc>
        <w:tc>
          <w:tcPr>
            <w:tcW w:w="992" w:type="dxa"/>
            <w:tcBorders>
              <w:top w:val="single" w:sz="6" w:space="0" w:color="000000"/>
              <w:start w:val="single" w:sz="6" w:space="0" w:color="000000"/>
              <w:end w:val="single" w:sz="6" w:space="0" w:color="000000"/>
            </w:tcBorders>
          </w:tcPr>
          <w:p>
            <w:pPr>
              <w:pStyle w:val="Normal"/>
              <w:jc w:val="center"/>
              <w:rPr>
                <w:sz w:val="14"/>
              </w:rPr>
            </w:pPr>
            <w:r>
              <w:rPr>
                <w:sz w:val="14"/>
              </w:rPr>
              <w:t>% ao ano</w:t>
            </w:r>
          </w:p>
        </w:tc>
        <w:tc>
          <w:tcPr>
            <w:tcW w:w="825" w:type="dxa"/>
            <w:tcBorders>
              <w:top w:val="single" w:sz="6" w:space="0" w:color="000000"/>
              <w:start w:val="single" w:sz="6" w:space="0" w:color="000000"/>
              <w:end w:val="single" w:sz="6" w:space="0" w:color="000000"/>
            </w:tcBorders>
          </w:tcPr>
          <w:p>
            <w:pPr>
              <w:pStyle w:val="Normal"/>
              <w:jc w:val="center"/>
              <w:rPr>
                <w:sz w:val="14"/>
              </w:rPr>
            </w:pPr>
            <w:r>
              <w:rPr>
                <w:sz w:val="14"/>
              </w:rPr>
              <w:t>% ao mês</w:t>
            </w:r>
          </w:p>
        </w:tc>
        <w:tc>
          <w:tcPr>
            <w:tcW w:w="778" w:type="dxa"/>
            <w:tcBorders>
              <w:top w:val="single" w:sz="6" w:space="0" w:color="000000"/>
              <w:start w:val="single" w:sz="6" w:space="0" w:color="000000"/>
              <w:end w:val="single" w:sz="6" w:space="0" w:color="000000"/>
            </w:tcBorders>
          </w:tcPr>
          <w:p>
            <w:pPr>
              <w:pStyle w:val="Normal"/>
              <w:jc w:val="center"/>
              <w:rPr>
                <w:sz w:val="14"/>
              </w:rPr>
            </w:pPr>
            <w:r>
              <w:rPr>
                <w:sz w:val="14"/>
              </w:rPr>
              <w:t>% acum.      12 meses</w:t>
            </w:r>
          </w:p>
        </w:tc>
        <w:tc>
          <w:tcPr>
            <w:tcW w:w="807" w:type="dxa"/>
            <w:tcBorders>
              <w:top w:val="single" w:sz="6" w:space="0" w:color="000000"/>
              <w:start w:val="single" w:sz="6" w:space="0" w:color="000000"/>
              <w:end w:val="single" w:sz="6" w:space="0" w:color="000000"/>
            </w:tcBorders>
          </w:tcPr>
          <w:p>
            <w:pPr>
              <w:pStyle w:val="Normal"/>
              <w:jc w:val="center"/>
              <w:rPr>
                <w:sz w:val="14"/>
              </w:rPr>
            </w:pPr>
            <w:r>
              <w:rPr>
                <w:sz w:val="14"/>
              </w:rPr>
              <w:t>% ao ano</w:t>
            </w:r>
          </w:p>
        </w:tc>
        <w:tc>
          <w:tcPr>
            <w:tcW w:w="702" w:type="dxa"/>
            <w:tcBorders>
              <w:top w:val="single" w:sz="6" w:space="0" w:color="000000"/>
              <w:start w:val="single" w:sz="6" w:space="0" w:color="000000"/>
              <w:end w:val="single" w:sz="6" w:space="0" w:color="000000"/>
            </w:tcBorders>
          </w:tcPr>
          <w:p>
            <w:pPr>
              <w:pStyle w:val="Normal"/>
              <w:jc w:val="center"/>
              <w:rPr>
                <w:sz w:val="14"/>
              </w:rPr>
            </w:pPr>
            <w:r>
              <w:rPr>
                <w:sz w:val="14"/>
              </w:rPr>
              <w:t>R$/US$ fim de período</w:t>
            </w:r>
          </w:p>
        </w:tc>
        <w:tc>
          <w:tcPr>
            <w:tcW w:w="760" w:type="dxa"/>
            <w:tcBorders>
              <w:top w:val="single" w:sz="6" w:space="0" w:color="000000"/>
              <w:start w:val="single" w:sz="6" w:space="0" w:color="000000"/>
              <w:end w:val="single" w:sz="6" w:space="0" w:color="000000"/>
            </w:tcBorders>
          </w:tcPr>
          <w:p>
            <w:pPr>
              <w:pStyle w:val="Normal"/>
              <w:jc w:val="center"/>
              <w:rPr>
                <w:sz w:val="14"/>
              </w:rPr>
            </w:pPr>
            <w:r>
              <w:rPr>
                <w:sz w:val="14"/>
              </w:rPr>
              <w:t xml:space="preserve">% ao mês </w:t>
            </w:r>
          </w:p>
        </w:tc>
        <w:tc>
          <w:tcPr>
            <w:tcW w:w="744" w:type="dxa"/>
            <w:tcBorders>
              <w:top w:val="single" w:sz="6" w:space="0" w:color="000000"/>
              <w:start w:val="single" w:sz="6" w:space="0" w:color="000000"/>
              <w:end w:val="single" w:sz="6" w:space="0" w:color="000000"/>
            </w:tcBorders>
          </w:tcPr>
          <w:p>
            <w:pPr>
              <w:pStyle w:val="Normal"/>
              <w:jc w:val="center"/>
              <w:rPr>
                <w:sz w:val="14"/>
              </w:rPr>
            </w:pPr>
            <w:r>
              <w:rPr>
                <w:sz w:val="14"/>
              </w:rPr>
              <w:t xml:space="preserve">% acum. 12  </w:t>
            </w:r>
          </w:p>
          <w:p>
            <w:pPr>
              <w:pStyle w:val="Normal"/>
              <w:jc w:val="center"/>
              <w:rPr>
                <w:sz w:val="14"/>
              </w:rPr>
            </w:pPr>
            <w:r>
              <w:rPr>
                <w:sz w:val="14"/>
              </w:rPr>
              <w:t>meses</w:t>
            </w:r>
          </w:p>
        </w:tc>
        <w:tc>
          <w:tcPr>
            <w:tcW w:w="764" w:type="dxa"/>
            <w:gridSpan w:val="2"/>
            <w:tcBorders>
              <w:top w:val="single" w:sz="6" w:space="0" w:color="000000"/>
              <w:start w:val="single" w:sz="6" w:space="0" w:color="000000"/>
              <w:end w:val="single" w:sz="6" w:space="0" w:color="000000"/>
            </w:tcBorders>
          </w:tcPr>
          <w:p>
            <w:pPr>
              <w:pStyle w:val="Normal"/>
              <w:jc w:val="center"/>
              <w:rPr>
                <w:sz w:val="14"/>
              </w:rPr>
            </w:pPr>
            <w:r>
              <w:rPr>
                <w:sz w:val="14"/>
              </w:rPr>
              <w:t>% ao ano</w:t>
            </w:r>
          </w:p>
        </w:tc>
        <w:tc>
          <w:tcPr>
            <w:tcW w:w="851" w:type="dxa"/>
            <w:tcBorders>
              <w:top w:val="single" w:sz="6" w:space="0" w:color="000000"/>
              <w:start w:val="single" w:sz="6" w:space="0" w:color="000000"/>
              <w:end w:val="single" w:sz="12" w:space="0" w:color="000000"/>
            </w:tcBorders>
          </w:tcPr>
          <w:p>
            <w:pPr>
              <w:pStyle w:val="Normal"/>
              <w:jc w:val="center"/>
              <w:rPr>
                <w:sz w:val="14"/>
              </w:rPr>
            </w:pPr>
            <w:r>
              <w:rPr>
                <w:sz w:val="14"/>
              </w:rPr>
              <w:t>% ao ano</w:t>
            </w:r>
          </w:p>
        </w:tc>
      </w:tr>
      <w:tr>
        <w:trPr>
          <w:trHeight w:val="174" w:hRule="atLeast"/>
        </w:trPr>
        <w:tc>
          <w:tcPr>
            <w:tcW w:w="680" w:type="dxa"/>
            <w:tcBorders>
              <w:top w:val="single" w:sz="6" w:space="0" w:color="000000"/>
              <w:start w:val="single" w:sz="12" w:space="0" w:color="000000"/>
            </w:tcBorders>
          </w:tcPr>
          <w:p>
            <w:pPr>
              <w:pStyle w:val="Normal"/>
              <w:jc w:val="center"/>
              <w:rPr>
                <w:b/>
                <w:sz w:val="16"/>
              </w:rPr>
            </w:pPr>
            <w:r>
              <w:rPr>
                <w:b/>
                <w:sz w:val="16"/>
              </w:rPr>
              <w:t>1994</w:t>
            </w:r>
          </w:p>
        </w:tc>
        <w:tc>
          <w:tcPr>
            <w:tcW w:w="426" w:type="dxa"/>
            <w:tcBorders>
              <w:start w:val="single" w:sz="6" w:space="0" w:color="000000"/>
              <w:end w:val="single" w:sz="6" w:space="0" w:color="000000"/>
            </w:tcBorders>
          </w:tcPr>
          <w:p>
            <w:pPr>
              <w:pStyle w:val="Normal"/>
              <w:snapToGrid w:val="false"/>
              <w:jc w:val="center"/>
              <w:rPr>
                <w:b/>
                <w:sz w:val="14"/>
              </w:rPr>
            </w:pPr>
            <w:r>
              <w:rPr>
                <w:b/>
                <w:sz w:val="14"/>
              </w:rPr>
            </w:r>
          </w:p>
        </w:tc>
        <w:tc>
          <w:tcPr>
            <w:tcW w:w="790" w:type="dxa"/>
            <w:tcBorders>
              <w:top w:val="single" w:sz="6" w:space="0" w:color="000000"/>
            </w:tcBorders>
          </w:tcPr>
          <w:p>
            <w:pPr>
              <w:pStyle w:val="Normal"/>
              <w:jc w:val="center"/>
              <w:rPr>
                <w:sz w:val="18"/>
              </w:rPr>
            </w:pPr>
            <w:r>
              <w:rPr>
                <w:sz w:val="18"/>
              </w:rPr>
              <w:t>22.99</w:t>
            </w:r>
          </w:p>
        </w:tc>
        <w:tc>
          <w:tcPr>
            <w:tcW w:w="769" w:type="dxa"/>
            <w:tcBorders>
              <w:top w:val="single" w:sz="6" w:space="0" w:color="000000"/>
            </w:tcBorders>
          </w:tcPr>
          <w:p>
            <w:pPr>
              <w:pStyle w:val="Normal"/>
              <w:jc w:val="center"/>
              <w:rPr>
                <w:sz w:val="18"/>
              </w:rPr>
            </w:pPr>
            <w:r>
              <w:rPr>
                <w:sz w:val="18"/>
              </w:rPr>
              <w:t>916.4</w:t>
            </w:r>
          </w:p>
        </w:tc>
        <w:tc>
          <w:tcPr>
            <w:tcW w:w="992" w:type="dxa"/>
            <w:tcBorders>
              <w:top w:val="single" w:sz="6" w:space="0" w:color="000000"/>
            </w:tcBorders>
          </w:tcPr>
          <w:p>
            <w:pPr>
              <w:pStyle w:val="Normal"/>
              <w:jc w:val="center"/>
              <w:rPr>
                <w:sz w:val="17"/>
              </w:rPr>
            </w:pPr>
            <w:r>
              <w:rPr>
                <w:sz w:val="17"/>
              </w:rPr>
              <w:t>1,098.0</w:t>
            </w:r>
          </w:p>
        </w:tc>
        <w:tc>
          <w:tcPr>
            <w:tcW w:w="825" w:type="dxa"/>
            <w:tcBorders>
              <w:top w:val="single" w:sz="6" w:space="0" w:color="000000"/>
            </w:tcBorders>
          </w:tcPr>
          <w:p>
            <w:pPr>
              <w:pStyle w:val="Normal"/>
              <w:jc w:val="center"/>
              <w:rPr>
                <w:sz w:val="18"/>
              </w:rPr>
            </w:pPr>
            <w:r>
              <w:rPr>
                <w:sz w:val="18"/>
              </w:rPr>
              <w:t>25.22</w:t>
            </w:r>
          </w:p>
        </w:tc>
        <w:tc>
          <w:tcPr>
            <w:tcW w:w="778" w:type="dxa"/>
            <w:tcBorders>
              <w:top w:val="single" w:sz="6" w:space="0" w:color="000000"/>
            </w:tcBorders>
          </w:tcPr>
          <w:p>
            <w:pPr>
              <w:pStyle w:val="Normal"/>
              <w:jc w:val="center"/>
              <w:rPr>
                <w:sz w:val="18"/>
              </w:rPr>
            </w:pPr>
            <w:r>
              <w:rPr>
                <w:sz w:val="18"/>
              </w:rPr>
              <w:t>1153</w:t>
            </w:r>
          </w:p>
        </w:tc>
        <w:tc>
          <w:tcPr>
            <w:tcW w:w="807" w:type="dxa"/>
            <w:tcBorders>
              <w:top w:val="single" w:sz="6" w:space="0" w:color="000000"/>
            </w:tcBorders>
          </w:tcPr>
          <w:p>
            <w:pPr>
              <w:pStyle w:val="Normal"/>
              <w:jc w:val="center"/>
              <w:rPr>
                <w:sz w:val="18"/>
              </w:rPr>
            </w:pPr>
            <w:r>
              <w:rPr>
                <w:sz w:val="18"/>
              </w:rPr>
              <w:t>1386</w:t>
            </w:r>
          </w:p>
        </w:tc>
        <w:tc>
          <w:tcPr>
            <w:tcW w:w="702" w:type="dxa"/>
            <w:tcBorders>
              <w:top w:val="single" w:sz="6" w:space="0" w:color="000000"/>
            </w:tcBorders>
          </w:tcPr>
          <w:p>
            <w:pPr>
              <w:pStyle w:val="Normal"/>
              <w:jc w:val="center"/>
              <w:rPr>
                <w:sz w:val="18"/>
              </w:rPr>
            </w:pPr>
            <w:r>
              <w:rPr>
                <w:sz w:val="18"/>
              </w:rPr>
              <w:t>0.84</w:t>
            </w:r>
          </w:p>
        </w:tc>
        <w:tc>
          <w:tcPr>
            <w:tcW w:w="760" w:type="dxa"/>
            <w:tcBorders>
              <w:top w:val="single" w:sz="6" w:space="0" w:color="000000"/>
            </w:tcBorders>
          </w:tcPr>
          <w:p>
            <w:pPr>
              <w:pStyle w:val="Normal"/>
              <w:jc w:val="center"/>
              <w:rPr>
                <w:sz w:val="18"/>
              </w:rPr>
            </w:pPr>
            <w:r>
              <w:rPr>
                <w:sz w:val="18"/>
              </w:rPr>
              <w:t>17.78</w:t>
            </w:r>
          </w:p>
        </w:tc>
        <w:tc>
          <w:tcPr>
            <w:tcW w:w="744" w:type="dxa"/>
            <w:tcBorders>
              <w:top w:val="single" w:sz="6" w:space="0" w:color="000000"/>
            </w:tcBorders>
          </w:tcPr>
          <w:p>
            <w:pPr>
              <w:pStyle w:val="Normal"/>
              <w:jc w:val="center"/>
              <w:rPr>
                <w:sz w:val="18"/>
              </w:rPr>
            </w:pPr>
            <w:r>
              <w:rPr>
                <w:sz w:val="18"/>
              </w:rPr>
              <w:t>613</w:t>
            </w:r>
          </w:p>
        </w:tc>
        <w:tc>
          <w:tcPr>
            <w:tcW w:w="764" w:type="dxa"/>
            <w:gridSpan w:val="2"/>
            <w:tcBorders>
              <w:top w:val="single" w:sz="6" w:space="0" w:color="000000"/>
            </w:tcBorders>
          </w:tcPr>
          <w:p>
            <w:pPr>
              <w:pStyle w:val="Normal"/>
              <w:jc w:val="center"/>
              <w:rPr>
                <w:sz w:val="18"/>
              </w:rPr>
            </w:pPr>
            <w:r>
              <w:rPr>
                <w:sz w:val="18"/>
              </w:rPr>
              <w:t>613</w:t>
            </w:r>
          </w:p>
        </w:tc>
        <w:tc>
          <w:tcPr>
            <w:tcW w:w="851" w:type="dxa"/>
            <w:tcBorders>
              <w:top w:val="single" w:sz="6" w:space="0" w:color="000000"/>
              <w:end w:val="single" w:sz="12" w:space="0" w:color="000000"/>
            </w:tcBorders>
          </w:tcPr>
          <w:p>
            <w:pPr>
              <w:pStyle w:val="Normal"/>
              <w:jc w:val="center"/>
              <w:rPr>
                <w:sz w:val="18"/>
              </w:rPr>
            </w:pPr>
            <w:r>
              <w:rPr>
                <w:sz w:val="18"/>
              </w:rPr>
              <w:t>24.1</w:t>
            </w:r>
          </w:p>
        </w:tc>
      </w:tr>
      <w:tr>
        <w:trPr/>
        <w:tc>
          <w:tcPr>
            <w:tcW w:w="680" w:type="dxa"/>
            <w:tcBorders>
              <w:start w:val="single" w:sz="12" w:space="0" w:color="000000"/>
            </w:tcBorders>
          </w:tcPr>
          <w:p>
            <w:pPr>
              <w:pStyle w:val="Normal"/>
              <w:rPr>
                <w:b/>
                <w:sz w:val="16"/>
              </w:rPr>
            </w:pPr>
            <w:r>
              <w:rPr>
                <w:b/>
                <w:sz w:val="16"/>
              </w:rPr>
              <w:t xml:space="preserve"> </w:t>
            </w:r>
            <w:r>
              <w:rPr>
                <w:b/>
                <w:sz w:val="16"/>
              </w:rPr>
              <w:t>1995</w:t>
            </w:r>
          </w:p>
        </w:tc>
        <w:tc>
          <w:tcPr>
            <w:tcW w:w="426" w:type="dxa"/>
            <w:tcBorders>
              <w:start w:val="single" w:sz="6" w:space="0" w:color="000000"/>
              <w:end w:val="single" w:sz="6" w:space="0" w:color="000000"/>
            </w:tcBorders>
          </w:tcPr>
          <w:p>
            <w:pPr>
              <w:pStyle w:val="Normal"/>
              <w:snapToGrid w:val="false"/>
              <w:jc w:val="center"/>
              <w:rPr>
                <w:b/>
                <w:sz w:val="14"/>
              </w:rPr>
            </w:pPr>
            <w:r>
              <w:rPr>
                <w:b/>
                <w:sz w:val="14"/>
              </w:rPr>
            </w:r>
          </w:p>
        </w:tc>
        <w:tc>
          <w:tcPr>
            <w:tcW w:w="790" w:type="dxa"/>
            <w:tcBorders/>
          </w:tcPr>
          <w:p>
            <w:pPr>
              <w:pStyle w:val="Normal"/>
              <w:jc w:val="center"/>
              <w:rPr>
                <w:sz w:val="18"/>
              </w:rPr>
            </w:pPr>
            <w:r>
              <w:rPr>
                <w:sz w:val="18"/>
              </w:rPr>
              <w:t>1.70</w:t>
            </w:r>
          </w:p>
        </w:tc>
        <w:tc>
          <w:tcPr>
            <w:tcW w:w="769" w:type="dxa"/>
            <w:tcBorders/>
          </w:tcPr>
          <w:p>
            <w:pPr>
              <w:pStyle w:val="Normal"/>
              <w:jc w:val="center"/>
              <w:rPr>
                <w:sz w:val="18"/>
              </w:rPr>
            </w:pPr>
            <w:r>
              <w:rPr>
                <w:sz w:val="18"/>
              </w:rPr>
              <w:t>22.4</w:t>
            </w:r>
          </w:p>
        </w:tc>
        <w:tc>
          <w:tcPr>
            <w:tcW w:w="992" w:type="dxa"/>
            <w:tcBorders/>
          </w:tcPr>
          <w:p>
            <w:pPr>
              <w:pStyle w:val="Normal"/>
              <w:jc w:val="center"/>
              <w:rPr>
                <w:sz w:val="18"/>
              </w:rPr>
            </w:pPr>
            <w:r>
              <w:rPr>
                <w:sz w:val="18"/>
              </w:rPr>
              <w:t>22.4</w:t>
            </w:r>
          </w:p>
        </w:tc>
        <w:tc>
          <w:tcPr>
            <w:tcW w:w="825" w:type="dxa"/>
            <w:tcBorders/>
          </w:tcPr>
          <w:p>
            <w:pPr>
              <w:pStyle w:val="Normal"/>
              <w:jc w:val="center"/>
              <w:rPr>
                <w:sz w:val="18"/>
              </w:rPr>
            </w:pPr>
            <w:r>
              <w:rPr>
                <w:sz w:val="18"/>
              </w:rPr>
              <w:t>3.61</w:t>
            </w:r>
          </w:p>
        </w:tc>
        <w:tc>
          <w:tcPr>
            <w:tcW w:w="778" w:type="dxa"/>
            <w:tcBorders/>
          </w:tcPr>
          <w:p>
            <w:pPr>
              <w:pStyle w:val="Normal"/>
              <w:jc w:val="center"/>
              <w:rPr>
                <w:sz w:val="18"/>
              </w:rPr>
            </w:pPr>
            <w:r>
              <w:rPr>
                <w:sz w:val="18"/>
              </w:rPr>
              <w:t>53.0</w:t>
            </w:r>
          </w:p>
        </w:tc>
        <w:tc>
          <w:tcPr>
            <w:tcW w:w="807" w:type="dxa"/>
            <w:tcBorders/>
          </w:tcPr>
          <w:p>
            <w:pPr>
              <w:pStyle w:val="Normal"/>
              <w:jc w:val="center"/>
              <w:rPr>
                <w:sz w:val="18"/>
              </w:rPr>
            </w:pPr>
            <w:r>
              <w:rPr>
                <w:sz w:val="18"/>
              </w:rPr>
              <w:t>53.0</w:t>
            </w:r>
          </w:p>
        </w:tc>
        <w:tc>
          <w:tcPr>
            <w:tcW w:w="702" w:type="dxa"/>
            <w:tcBorders/>
          </w:tcPr>
          <w:p>
            <w:pPr>
              <w:pStyle w:val="Normal"/>
              <w:jc w:val="center"/>
              <w:rPr>
                <w:sz w:val="18"/>
              </w:rPr>
            </w:pPr>
            <w:r>
              <w:rPr>
                <w:sz w:val="18"/>
              </w:rPr>
              <w:t>0.97</w:t>
            </w:r>
          </w:p>
        </w:tc>
        <w:tc>
          <w:tcPr>
            <w:tcW w:w="760" w:type="dxa"/>
            <w:tcBorders/>
          </w:tcPr>
          <w:p>
            <w:pPr>
              <w:pStyle w:val="Normal"/>
              <w:jc w:val="center"/>
              <w:rPr>
                <w:sz w:val="18"/>
              </w:rPr>
            </w:pPr>
            <w:r>
              <w:rPr>
                <w:sz w:val="18"/>
              </w:rPr>
              <w:t>1.18</w:t>
            </w:r>
          </w:p>
        </w:tc>
        <w:tc>
          <w:tcPr>
            <w:tcW w:w="744" w:type="dxa"/>
            <w:tcBorders/>
          </w:tcPr>
          <w:p>
            <w:pPr>
              <w:pStyle w:val="Normal"/>
              <w:jc w:val="center"/>
              <w:rPr>
                <w:sz w:val="18"/>
              </w:rPr>
            </w:pPr>
            <w:r>
              <w:rPr>
                <w:sz w:val="18"/>
              </w:rPr>
              <w:t>15.2</w:t>
            </w:r>
          </w:p>
        </w:tc>
        <w:tc>
          <w:tcPr>
            <w:tcW w:w="764" w:type="dxa"/>
            <w:gridSpan w:val="2"/>
            <w:tcBorders/>
          </w:tcPr>
          <w:p>
            <w:pPr>
              <w:pStyle w:val="Normal"/>
              <w:jc w:val="center"/>
              <w:rPr>
                <w:sz w:val="18"/>
              </w:rPr>
            </w:pPr>
            <w:r>
              <w:rPr>
                <w:sz w:val="18"/>
              </w:rPr>
              <w:t>15.2</w:t>
            </w:r>
          </w:p>
        </w:tc>
        <w:tc>
          <w:tcPr>
            <w:tcW w:w="851" w:type="dxa"/>
            <w:tcBorders>
              <w:end w:val="single" w:sz="12" w:space="0" w:color="000000"/>
            </w:tcBorders>
          </w:tcPr>
          <w:p>
            <w:pPr>
              <w:pStyle w:val="Normal"/>
              <w:jc w:val="center"/>
              <w:rPr>
                <w:sz w:val="18"/>
              </w:rPr>
            </w:pPr>
            <w:r>
              <w:rPr>
                <w:sz w:val="18"/>
              </w:rPr>
              <w:t>25.0</w:t>
            </w:r>
          </w:p>
        </w:tc>
      </w:tr>
      <w:tr>
        <w:trPr/>
        <w:tc>
          <w:tcPr>
            <w:tcW w:w="680" w:type="dxa"/>
            <w:tcBorders>
              <w:start w:val="single" w:sz="12" w:space="0" w:color="000000"/>
            </w:tcBorders>
          </w:tcPr>
          <w:p>
            <w:pPr>
              <w:pStyle w:val="Normal"/>
              <w:jc w:val="center"/>
              <w:rPr>
                <w:b/>
                <w:sz w:val="16"/>
              </w:rPr>
            </w:pPr>
            <w:r>
              <w:rPr>
                <w:b/>
                <w:sz w:val="16"/>
              </w:rPr>
              <w:t>1996</w:t>
            </w:r>
          </w:p>
        </w:tc>
        <w:tc>
          <w:tcPr>
            <w:tcW w:w="426" w:type="dxa"/>
            <w:tcBorders>
              <w:start w:val="single" w:sz="6" w:space="0" w:color="000000"/>
              <w:end w:val="single" w:sz="6" w:space="0" w:color="000000"/>
            </w:tcBorders>
          </w:tcPr>
          <w:p>
            <w:pPr>
              <w:pStyle w:val="Normal"/>
              <w:snapToGrid w:val="false"/>
              <w:jc w:val="center"/>
              <w:rPr>
                <w:b/>
                <w:sz w:val="14"/>
              </w:rPr>
            </w:pPr>
            <w:r>
              <w:rPr>
                <w:b/>
                <w:sz w:val="14"/>
              </w:rPr>
            </w:r>
          </w:p>
        </w:tc>
        <w:tc>
          <w:tcPr>
            <w:tcW w:w="790" w:type="dxa"/>
            <w:tcBorders/>
          </w:tcPr>
          <w:p>
            <w:pPr>
              <w:pStyle w:val="Normal"/>
              <w:jc w:val="center"/>
              <w:rPr>
                <w:color w:val="000000"/>
                <w:sz w:val="18"/>
              </w:rPr>
            </w:pPr>
            <w:r>
              <w:rPr>
                <w:color w:val="000000"/>
                <w:sz w:val="18"/>
              </w:rPr>
              <w:t>0.77</w:t>
            </w:r>
          </w:p>
        </w:tc>
        <w:tc>
          <w:tcPr>
            <w:tcW w:w="769" w:type="dxa"/>
            <w:tcBorders/>
          </w:tcPr>
          <w:p>
            <w:pPr>
              <w:pStyle w:val="Normal"/>
              <w:jc w:val="center"/>
              <w:rPr>
                <w:sz w:val="18"/>
              </w:rPr>
            </w:pPr>
            <w:r>
              <w:rPr>
                <w:sz w:val="18"/>
              </w:rPr>
              <w:t>9.6</w:t>
            </w:r>
          </w:p>
        </w:tc>
        <w:tc>
          <w:tcPr>
            <w:tcW w:w="992" w:type="dxa"/>
            <w:tcBorders/>
          </w:tcPr>
          <w:p>
            <w:pPr>
              <w:pStyle w:val="Normal"/>
              <w:jc w:val="center"/>
              <w:rPr>
                <w:sz w:val="18"/>
              </w:rPr>
            </w:pPr>
            <w:r>
              <w:rPr>
                <w:sz w:val="18"/>
              </w:rPr>
              <w:t>9.6</w:t>
            </w:r>
          </w:p>
        </w:tc>
        <w:tc>
          <w:tcPr>
            <w:tcW w:w="825" w:type="dxa"/>
            <w:tcBorders/>
          </w:tcPr>
          <w:p>
            <w:pPr>
              <w:pStyle w:val="Normal"/>
              <w:jc w:val="center"/>
              <w:rPr>
                <w:color w:val="000000"/>
                <w:sz w:val="18"/>
              </w:rPr>
            </w:pPr>
            <w:r>
              <w:rPr>
                <w:color w:val="000000"/>
                <w:sz w:val="18"/>
              </w:rPr>
              <w:t>2.04</w:t>
            </w:r>
          </w:p>
        </w:tc>
        <w:tc>
          <w:tcPr>
            <w:tcW w:w="778" w:type="dxa"/>
            <w:tcBorders/>
          </w:tcPr>
          <w:p>
            <w:pPr>
              <w:pStyle w:val="Normal"/>
              <w:jc w:val="center"/>
              <w:rPr>
                <w:sz w:val="18"/>
              </w:rPr>
            </w:pPr>
            <w:r>
              <w:rPr>
                <w:sz w:val="18"/>
              </w:rPr>
              <w:t>27.5</w:t>
            </w:r>
          </w:p>
        </w:tc>
        <w:tc>
          <w:tcPr>
            <w:tcW w:w="807" w:type="dxa"/>
            <w:tcBorders/>
          </w:tcPr>
          <w:p>
            <w:pPr>
              <w:pStyle w:val="Normal"/>
              <w:jc w:val="center"/>
              <w:rPr>
                <w:sz w:val="18"/>
              </w:rPr>
            </w:pPr>
            <w:r>
              <w:rPr>
                <w:sz w:val="18"/>
              </w:rPr>
              <w:t>27.4</w:t>
            </w:r>
          </w:p>
        </w:tc>
        <w:tc>
          <w:tcPr>
            <w:tcW w:w="702" w:type="dxa"/>
            <w:tcBorders/>
          </w:tcPr>
          <w:p>
            <w:pPr>
              <w:pStyle w:val="Normal"/>
              <w:jc w:val="center"/>
              <w:rPr>
                <w:color w:val="000000"/>
                <w:sz w:val="18"/>
              </w:rPr>
            </w:pPr>
            <w:r>
              <w:rPr>
                <w:color w:val="000000"/>
                <w:sz w:val="18"/>
              </w:rPr>
              <w:t>1.04</w:t>
            </w:r>
          </w:p>
        </w:tc>
        <w:tc>
          <w:tcPr>
            <w:tcW w:w="760" w:type="dxa"/>
            <w:tcBorders/>
          </w:tcPr>
          <w:p>
            <w:pPr>
              <w:pStyle w:val="Normal"/>
              <w:jc w:val="center"/>
              <w:rPr>
                <w:color w:val="000000"/>
                <w:sz w:val="18"/>
              </w:rPr>
            </w:pPr>
            <w:r>
              <w:rPr>
                <w:color w:val="000000"/>
                <w:sz w:val="18"/>
              </w:rPr>
              <w:t>0.55</w:t>
            </w:r>
          </w:p>
        </w:tc>
        <w:tc>
          <w:tcPr>
            <w:tcW w:w="744" w:type="dxa"/>
            <w:tcBorders/>
          </w:tcPr>
          <w:p>
            <w:pPr>
              <w:pStyle w:val="Normal"/>
              <w:jc w:val="center"/>
              <w:rPr>
                <w:color w:val="000000"/>
                <w:sz w:val="18"/>
              </w:rPr>
            </w:pPr>
            <w:r>
              <w:rPr>
                <w:color w:val="000000"/>
                <w:sz w:val="18"/>
              </w:rPr>
              <w:t>6.9</w:t>
            </w:r>
          </w:p>
        </w:tc>
        <w:tc>
          <w:tcPr>
            <w:tcW w:w="764" w:type="dxa"/>
            <w:gridSpan w:val="2"/>
            <w:tcBorders/>
          </w:tcPr>
          <w:p>
            <w:pPr>
              <w:pStyle w:val="Normal"/>
              <w:jc w:val="center"/>
              <w:rPr>
                <w:color w:val="000000"/>
                <w:sz w:val="18"/>
              </w:rPr>
            </w:pPr>
            <w:r>
              <w:rPr>
                <w:color w:val="000000"/>
                <w:sz w:val="18"/>
              </w:rPr>
              <w:t>6.9</w:t>
            </w:r>
          </w:p>
        </w:tc>
        <w:tc>
          <w:tcPr>
            <w:tcW w:w="851" w:type="dxa"/>
            <w:tcBorders>
              <w:end w:val="single" w:sz="12" w:space="0" w:color="000000"/>
            </w:tcBorders>
          </w:tcPr>
          <w:p>
            <w:pPr>
              <w:pStyle w:val="Normal"/>
              <w:jc w:val="center"/>
              <w:rPr>
                <w:sz w:val="18"/>
              </w:rPr>
            </w:pPr>
            <w:r>
              <w:rPr>
                <w:sz w:val="18"/>
              </w:rPr>
              <w:t>16.2</w:t>
            </w:r>
          </w:p>
        </w:tc>
      </w:tr>
      <w:tr>
        <w:trPr/>
        <w:tc>
          <w:tcPr>
            <w:tcW w:w="680" w:type="dxa"/>
            <w:tcBorders>
              <w:start w:val="single" w:sz="12" w:space="0" w:color="000000"/>
            </w:tcBorders>
          </w:tcPr>
          <w:p>
            <w:pPr>
              <w:pStyle w:val="Normal"/>
              <w:jc w:val="center"/>
              <w:rPr>
                <w:b/>
                <w:sz w:val="16"/>
              </w:rPr>
            </w:pPr>
            <w:r>
              <w:rPr>
                <w:b/>
                <w:sz w:val="16"/>
              </w:rPr>
              <w:t>1997</w:t>
            </w:r>
          </w:p>
        </w:tc>
        <w:tc>
          <w:tcPr>
            <w:tcW w:w="426" w:type="dxa"/>
            <w:tcBorders>
              <w:start w:val="single" w:sz="6" w:space="0" w:color="000000"/>
              <w:end w:val="single" w:sz="6" w:space="0" w:color="000000"/>
            </w:tcBorders>
          </w:tcPr>
          <w:p>
            <w:pPr>
              <w:pStyle w:val="Normal"/>
              <w:snapToGrid w:val="false"/>
              <w:jc w:val="center"/>
              <w:rPr>
                <w:b/>
                <w:sz w:val="14"/>
              </w:rPr>
            </w:pPr>
            <w:r>
              <w:rPr>
                <w:b/>
                <w:sz w:val="14"/>
              </w:rPr>
            </w:r>
          </w:p>
        </w:tc>
        <w:tc>
          <w:tcPr>
            <w:tcW w:w="790" w:type="dxa"/>
            <w:tcBorders/>
          </w:tcPr>
          <w:p>
            <w:pPr>
              <w:pStyle w:val="Normal"/>
              <w:jc w:val="center"/>
              <w:rPr>
                <w:color w:val="000000"/>
                <w:sz w:val="18"/>
              </w:rPr>
            </w:pPr>
            <w:r>
              <w:rPr>
                <w:color w:val="000000"/>
                <w:sz w:val="18"/>
              </w:rPr>
              <w:t>0.43</w:t>
            </w:r>
          </w:p>
        </w:tc>
        <w:tc>
          <w:tcPr>
            <w:tcW w:w="769" w:type="dxa"/>
            <w:tcBorders/>
          </w:tcPr>
          <w:p>
            <w:pPr>
              <w:pStyle w:val="Normal"/>
              <w:jc w:val="center"/>
              <w:rPr>
                <w:color w:val="000000"/>
                <w:sz w:val="18"/>
              </w:rPr>
            </w:pPr>
            <w:r>
              <w:rPr>
                <w:color w:val="000000"/>
                <w:sz w:val="18"/>
              </w:rPr>
              <w:t>5.2</w:t>
            </w:r>
          </w:p>
        </w:tc>
        <w:tc>
          <w:tcPr>
            <w:tcW w:w="992" w:type="dxa"/>
            <w:tcBorders/>
          </w:tcPr>
          <w:p>
            <w:pPr>
              <w:pStyle w:val="Normal"/>
              <w:jc w:val="center"/>
              <w:rPr>
                <w:color w:val="000000"/>
                <w:sz w:val="18"/>
              </w:rPr>
            </w:pPr>
            <w:r>
              <w:rPr>
                <w:color w:val="000000"/>
                <w:sz w:val="18"/>
              </w:rPr>
              <w:t>5.3</w:t>
            </w:r>
          </w:p>
        </w:tc>
        <w:tc>
          <w:tcPr>
            <w:tcW w:w="825" w:type="dxa"/>
            <w:tcBorders/>
          </w:tcPr>
          <w:p>
            <w:pPr>
              <w:pStyle w:val="Normal"/>
              <w:jc w:val="center"/>
              <w:rPr>
                <w:color w:val="000000"/>
                <w:sz w:val="18"/>
              </w:rPr>
            </w:pPr>
            <w:r>
              <w:rPr>
                <w:color w:val="000000"/>
                <w:sz w:val="18"/>
              </w:rPr>
              <w:t>1.86</w:t>
            </w:r>
          </w:p>
        </w:tc>
        <w:tc>
          <w:tcPr>
            <w:tcW w:w="778" w:type="dxa"/>
            <w:tcBorders/>
          </w:tcPr>
          <w:p>
            <w:pPr>
              <w:pStyle w:val="Normal"/>
              <w:jc w:val="center"/>
              <w:rPr>
                <w:color w:val="000000"/>
                <w:sz w:val="18"/>
              </w:rPr>
            </w:pPr>
            <w:r>
              <w:rPr>
                <w:color w:val="000000"/>
                <w:sz w:val="18"/>
              </w:rPr>
              <w:t>24.7</w:t>
            </w:r>
          </w:p>
        </w:tc>
        <w:tc>
          <w:tcPr>
            <w:tcW w:w="807" w:type="dxa"/>
            <w:tcBorders/>
          </w:tcPr>
          <w:p>
            <w:pPr>
              <w:pStyle w:val="Normal"/>
              <w:jc w:val="center"/>
              <w:rPr>
                <w:color w:val="000000"/>
                <w:sz w:val="18"/>
              </w:rPr>
            </w:pPr>
            <w:r>
              <w:rPr>
                <w:color w:val="000000"/>
                <w:sz w:val="18"/>
              </w:rPr>
              <w:t>24.8</w:t>
            </w:r>
          </w:p>
        </w:tc>
        <w:tc>
          <w:tcPr>
            <w:tcW w:w="702" w:type="dxa"/>
            <w:tcBorders/>
          </w:tcPr>
          <w:p>
            <w:pPr>
              <w:pStyle w:val="Normal"/>
              <w:jc w:val="center"/>
              <w:rPr>
                <w:color w:val="000000"/>
                <w:sz w:val="18"/>
              </w:rPr>
            </w:pPr>
            <w:r>
              <w:rPr>
                <w:color w:val="000000"/>
                <w:sz w:val="18"/>
              </w:rPr>
              <w:t>1.12</w:t>
            </w:r>
          </w:p>
        </w:tc>
        <w:tc>
          <w:tcPr>
            <w:tcW w:w="760" w:type="dxa"/>
            <w:tcBorders/>
          </w:tcPr>
          <w:p>
            <w:pPr>
              <w:pStyle w:val="Normal"/>
              <w:jc w:val="center"/>
              <w:rPr>
                <w:color w:val="000000"/>
                <w:sz w:val="18"/>
              </w:rPr>
            </w:pPr>
            <w:r>
              <w:rPr>
                <w:color w:val="000000"/>
                <w:sz w:val="18"/>
              </w:rPr>
              <w:t>0.61</w:t>
            </w:r>
          </w:p>
        </w:tc>
        <w:tc>
          <w:tcPr>
            <w:tcW w:w="744" w:type="dxa"/>
            <w:tcBorders/>
          </w:tcPr>
          <w:p>
            <w:pPr>
              <w:pStyle w:val="Normal"/>
              <w:jc w:val="center"/>
              <w:rPr>
                <w:color w:val="000000"/>
                <w:sz w:val="18"/>
              </w:rPr>
            </w:pPr>
            <w:r>
              <w:rPr>
                <w:color w:val="000000"/>
                <w:sz w:val="18"/>
              </w:rPr>
              <w:t>7.4</w:t>
            </w:r>
          </w:p>
        </w:tc>
        <w:tc>
          <w:tcPr>
            <w:tcW w:w="764" w:type="dxa"/>
            <w:gridSpan w:val="2"/>
            <w:tcBorders/>
          </w:tcPr>
          <w:p>
            <w:pPr>
              <w:pStyle w:val="Normal"/>
              <w:jc w:val="center"/>
              <w:rPr>
                <w:color w:val="000000"/>
                <w:sz w:val="18"/>
              </w:rPr>
            </w:pPr>
            <w:r>
              <w:rPr>
                <w:color w:val="000000"/>
                <w:sz w:val="18"/>
              </w:rPr>
              <w:t>7.6</w:t>
            </w:r>
          </w:p>
        </w:tc>
        <w:tc>
          <w:tcPr>
            <w:tcW w:w="851" w:type="dxa"/>
            <w:tcBorders>
              <w:end w:val="single" w:sz="12" w:space="0" w:color="000000"/>
            </w:tcBorders>
          </w:tcPr>
          <w:p>
            <w:pPr>
              <w:pStyle w:val="Normal"/>
              <w:jc w:val="center"/>
              <w:rPr>
                <w:color w:val="000000"/>
                <w:sz w:val="18"/>
              </w:rPr>
            </w:pPr>
            <w:r>
              <w:rPr>
                <w:color w:val="000000"/>
                <w:sz w:val="18"/>
              </w:rPr>
              <w:t>18.5</w:t>
            </w:r>
          </w:p>
        </w:tc>
      </w:tr>
      <w:tr>
        <w:trPr/>
        <w:tc>
          <w:tcPr>
            <w:tcW w:w="680" w:type="dxa"/>
            <w:tcBorders>
              <w:start w:val="single" w:sz="12" w:space="0" w:color="000000"/>
            </w:tcBorders>
          </w:tcPr>
          <w:p>
            <w:pPr>
              <w:pStyle w:val="Normal"/>
              <w:jc w:val="center"/>
              <w:rPr>
                <w:b/>
                <w:sz w:val="16"/>
              </w:rPr>
            </w:pPr>
            <w:r>
              <w:rPr>
                <w:b/>
                <w:sz w:val="16"/>
              </w:rPr>
              <w:t>1998</w:t>
            </w:r>
          </w:p>
        </w:tc>
        <w:tc>
          <w:tcPr>
            <w:tcW w:w="426" w:type="dxa"/>
            <w:tcBorders>
              <w:start w:val="single" w:sz="6" w:space="0" w:color="000000"/>
              <w:end w:val="single" w:sz="6" w:space="0" w:color="000000"/>
            </w:tcBorders>
          </w:tcPr>
          <w:p>
            <w:pPr>
              <w:pStyle w:val="Normal"/>
              <w:jc w:val="center"/>
              <w:rPr>
                <w:sz w:val="14"/>
              </w:rPr>
            </w:pPr>
            <w:r>
              <w:rPr>
                <w:sz w:val="14"/>
              </w:rPr>
              <w:t>I</w:t>
            </w:r>
          </w:p>
        </w:tc>
        <w:tc>
          <w:tcPr>
            <w:tcW w:w="790" w:type="dxa"/>
            <w:tcBorders/>
          </w:tcPr>
          <w:p>
            <w:pPr>
              <w:pStyle w:val="Normal"/>
              <w:jc w:val="center"/>
              <w:rPr>
                <w:color w:val="000000"/>
                <w:sz w:val="18"/>
              </w:rPr>
            </w:pPr>
            <w:r>
              <w:rPr>
                <w:color w:val="000000"/>
                <w:sz w:val="18"/>
              </w:rPr>
              <w:t>0.50</w:t>
            </w:r>
          </w:p>
        </w:tc>
        <w:tc>
          <w:tcPr>
            <w:tcW w:w="769" w:type="dxa"/>
            <w:tcBorders/>
          </w:tcPr>
          <w:p>
            <w:pPr>
              <w:pStyle w:val="Normal"/>
              <w:jc w:val="center"/>
              <w:rPr>
                <w:color w:val="000000"/>
                <w:sz w:val="18"/>
              </w:rPr>
            </w:pPr>
            <w:r>
              <w:rPr>
                <w:color w:val="000000"/>
                <w:sz w:val="18"/>
              </w:rPr>
              <w:t>4.5</w:t>
            </w:r>
          </w:p>
        </w:tc>
        <w:tc>
          <w:tcPr>
            <w:tcW w:w="992" w:type="dxa"/>
            <w:tcBorders/>
          </w:tcPr>
          <w:p>
            <w:pPr>
              <w:pStyle w:val="Normal"/>
              <w:jc w:val="center"/>
              <w:rPr>
                <w:color w:val="000000"/>
                <w:sz w:val="18"/>
              </w:rPr>
            </w:pPr>
            <w:r>
              <w:rPr>
                <w:color w:val="000000"/>
                <w:sz w:val="18"/>
              </w:rPr>
              <w:t>6.2</w:t>
            </w:r>
          </w:p>
        </w:tc>
        <w:tc>
          <w:tcPr>
            <w:tcW w:w="825" w:type="dxa"/>
            <w:tcBorders/>
          </w:tcPr>
          <w:p>
            <w:pPr>
              <w:pStyle w:val="Normal"/>
              <w:jc w:val="center"/>
              <w:rPr>
                <w:color w:val="000000"/>
                <w:sz w:val="18"/>
              </w:rPr>
            </w:pPr>
            <w:r>
              <w:rPr>
                <w:color w:val="000000"/>
                <w:sz w:val="18"/>
              </w:rPr>
              <w:t>2.33</w:t>
            </w:r>
          </w:p>
        </w:tc>
        <w:tc>
          <w:tcPr>
            <w:tcW w:w="778" w:type="dxa"/>
            <w:tcBorders/>
          </w:tcPr>
          <w:p>
            <w:pPr>
              <w:pStyle w:val="Normal"/>
              <w:jc w:val="center"/>
              <w:rPr>
                <w:color w:val="000000"/>
                <w:sz w:val="18"/>
              </w:rPr>
            </w:pPr>
            <w:r>
              <w:rPr>
                <w:color w:val="000000"/>
                <w:sz w:val="18"/>
              </w:rPr>
              <w:t>27.2</w:t>
            </w:r>
          </w:p>
        </w:tc>
        <w:tc>
          <w:tcPr>
            <w:tcW w:w="807" w:type="dxa"/>
            <w:tcBorders/>
          </w:tcPr>
          <w:p>
            <w:pPr>
              <w:pStyle w:val="Normal"/>
              <w:jc w:val="center"/>
              <w:rPr>
                <w:color w:val="000000"/>
                <w:sz w:val="18"/>
              </w:rPr>
            </w:pPr>
            <w:r>
              <w:rPr>
                <w:color w:val="000000"/>
                <w:sz w:val="18"/>
              </w:rPr>
              <w:t>31.9</w:t>
            </w:r>
          </w:p>
        </w:tc>
        <w:tc>
          <w:tcPr>
            <w:tcW w:w="702" w:type="dxa"/>
            <w:tcBorders/>
          </w:tcPr>
          <w:p>
            <w:pPr>
              <w:pStyle w:val="Normal"/>
              <w:jc w:val="center"/>
              <w:rPr>
                <w:color w:val="000000"/>
                <w:sz w:val="18"/>
              </w:rPr>
            </w:pPr>
            <w:r>
              <w:rPr>
                <w:color w:val="000000"/>
                <w:sz w:val="18"/>
              </w:rPr>
              <w:t>1.14</w:t>
            </w:r>
          </w:p>
        </w:tc>
        <w:tc>
          <w:tcPr>
            <w:tcW w:w="760" w:type="dxa"/>
            <w:tcBorders/>
          </w:tcPr>
          <w:p>
            <w:pPr>
              <w:pStyle w:val="Normal"/>
              <w:jc w:val="center"/>
              <w:rPr>
                <w:color w:val="000000"/>
                <w:sz w:val="18"/>
              </w:rPr>
            </w:pPr>
            <w:r>
              <w:rPr>
                <w:color w:val="000000"/>
                <w:sz w:val="18"/>
              </w:rPr>
              <w:t>0.62</w:t>
            </w:r>
          </w:p>
        </w:tc>
        <w:tc>
          <w:tcPr>
            <w:tcW w:w="744" w:type="dxa"/>
            <w:tcBorders/>
          </w:tcPr>
          <w:p>
            <w:pPr>
              <w:pStyle w:val="Normal"/>
              <w:jc w:val="center"/>
              <w:rPr>
                <w:color w:val="000000"/>
                <w:sz w:val="18"/>
              </w:rPr>
            </w:pPr>
            <w:r>
              <w:rPr>
                <w:color w:val="000000"/>
                <w:sz w:val="18"/>
              </w:rPr>
              <w:t>7.4</w:t>
            </w:r>
          </w:p>
        </w:tc>
        <w:tc>
          <w:tcPr>
            <w:tcW w:w="764" w:type="dxa"/>
            <w:gridSpan w:val="2"/>
            <w:tcBorders/>
          </w:tcPr>
          <w:p>
            <w:pPr>
              <w:pStyle w:val="Normal"/>
              <w:jc w:val="center"/>
              <w:rPr>
                <w:color w:val="000000"/>
                <w:sz w:val="18"/>
              </w:rPr>
            </w:pPr>
            <w:r>
              <w:rPr>
                <w:color w:val="000000"/>
                <w:sz w:val="18"/>
              </w:rPr>
              <w:t>7.7</w:t>
            </w:r>
          </w:p>
        </w:tc>
        <w:tc>
          <w:tcPr>
            <w:tcW w:w="851" w:type="dxa"/>
            <w:tcBorders>
              <w:end w:val="single" w:sz="12" w:space="0" w:color="000000"/>
            </w:tcBorders>
          </w:tcPr>
          <w:p>
            <w:pPr>
              <w:pStyle w:val="Normal"/>
              <w:jc w:val="center"/>
              <w:rPr>
                <w:color w:val="000000"/>
                <w:sz w:val="18"/>
              </w:rPr>
            </w:pPr>
            <w:r>
              <w:rPr>
                <w:color w:val="000000"/>
                <w:sz w:val="18"/>
              </w:rPr>
              <w:t>24.2</w:t>
            </w:r>
          </w:p>
        </w:tc>
      </w:tr>
      <w:tr>
        <w:trPr/>
        <w:tc>
          <w:tcPr>
            <w:tcW w:w="680" w:type="dxa"/>
            <w:tcBorders>
              <w:start w:val="single" w:sz="12" w:space="0" w:color="000000"/>
            </w:tcBorders>
          </w:tcPr>
          <w:p>
            <w:pPr>
              <w:pStyle w:val="Normal"/>
              <w:snapToGrid w:val="false"/>
              <w:jc w:val="center"/>
              <w:rPr>
                <w:b/>
                <w:color w:val="000000"/>
                <w:sz w:val="16"/>
              </w:rPr>
            </w:pPr>
            <w:r>
              <w:rPr>
                <w:b/>
                <w:color w:val="000000"/>
                <w:sz w:val="16"/>
              </w:rPr>
            </w:r>
          </w:p>
        </w:tc>
        <w:tc>
          <w:tcPr>
            <w:tcW w:w="426" w:type="dxa"/>
            <w:tcBorders>
              <w:start w:val="single" w:sz="6" w:space="0" w:color="000000"/>
              <w:end w:val="single" w:sz="6" w:space="0" w:color="000000"/>
            </w:tcBorders>
          </w:tcPr>
          <w:p>
            <w:pPr>
              <w:pStyle w:val="Normal"/>
              <w:jc w:val="center"/>
              <w:rPr>
                <w:sz w:val="14"/>
              </w:rPr>
            </w:pPr>
            <w:r>
              <w:rPr>
                <w:sz w:val="14"/>
              </w:rPr>
              <w:t>II</w:t>
            </w:r>
          </w:p>
        </w:tc>
        <w:tc>
          <w:tcPr>
            <w:tcW w:w="790" w:type="dxa"/>
            <w:tcBorders/>
          </w:tcPr>
          <w:p>
            <w:pPr>
              <w:pStyle w:val="Normal"/>
              <w:jc w:val="center"/>
              <w:rPr>
                <w:color w:val="000000"/>
                <w:sz w:val="18"/>
              </w:rPr>
            </w:pPr>
            <w:r>
              <w:rPr>
                <w:color w:val="000000"/>
                <w:sz w:val="18"/>
              </w:rPr>
              <w:t>0.25</w:t>
            </w:r>
          </w:p>
        </w:tc>
        <w:tc>
          <w:tcPr>
            <w:tcW w:w="769" w:type="dxa"/>
            <w:tcBorders/>
          </w:tcPr>
          <w:p>
            <w:pPr>
              <w:pStyle w:val="Normal"/>
              <w:jc w:val="center"/>
              <w:rPr>
                <w:color w:val="000000"/>
                <w:sz w:val="18"/>
              </w:rPr>
            </w:pPr>
            <w:r>
              <w:rPr>
                <w:color w:val="000000"/>
                <w:sz w:val="18"/>
              </w:rPr>
              <w:t>3.4</w:t>
            </w:r>
          </w:p>
        </w:tc>
        <w:tc>
          <w:tcPr>
            <w:tcW w:w="992" w:type="dxa"/>
            <w:tcBorders/>
          </w:tcPr>
          <w:p>
            <w:pPr>
              <w:pStyle w:val="Normal"/>
              <w:jc w:val="center"/>
              <w:rPr>
                <w:color w:val="000000"/>
                <w:sz w:val="18"/>
              </w:rPr>
            </w:pPr>
            <w:r>
              <w:rPr>
                <w:color w:val="000000"/>
                <w:sz w:val="18"/>
              </w:rPr>
              <w:t>3.1</w:t>
            </w:r>
          </w:p>
        </w:tc>
        <w:tc>
          <w:tcPr>
            <w:tcW w:w="825" w:type="dxa"/>
            <w:tcBorders/>
          </w:tcPr>
          <w:p>
            <w:pPr>
              <w:pStyle w:val="Normal"/>
              <w:jc w:val="center"/>
              <w:rPr>
                <w:color w:val="000000"/>
                <w:sz w:val="18"/>
              </w:rPr>
            </w:pPr>
            <w:r>
              <w:rPr>
                <w:color w:val="000000"/>
                <w:sz w:val="18"/>
              </w:rPr>
              <w:t>1.66</w:t>
            </w:r>
          </w:p>
        </w:tc>
        <w:tc>
          <w:tcPr>
            <w:tcW w:w="778" w:type="dxa"/>
            <w:tcBorders/>
          </w:tcPr>
          <w:p>
            <w:pPr>
              <w:pStyle w:val="Normal"/>
              <w:jc w:val="center"/>
              <w:rPr>
                <w:color w:val="000000"/>
                <w:sz w:val="18"/>
              </w:rPr>
            </w:pPr>
            <w:r>
              <w:rPr>
                <w:color w:val="000000"/>
                <w:sz w:val="18"/>
              </w:rPr>
              <w:t>27.3</w:t>
            </w:r>
          </w:p>
        </w:tc>
        <w:tc>
          <w:tcPr>
            <w:tcW w:w="807" w:type="dxa"/>
            <w:tcBorders/>
          </w:tcPr>
          <w:p>
            <w:pPr>
              <w:pStyle w:val="Normal"/>
              <w:jc w:val="center"/>
              <w:rPr>
                <w:color w:val="000000"/>
                <w:sz w:val="18"/>
              </w:rPr>
            </w:pPr>
            <w:r>
              <w:rPr>
                <w:color w:val="000000"/>
                <w:sz w:val="18"/>
              </w:rPr>
              <w:t>21.8</w:t>
            </w:r>
          </w:p>
        </w:tc>
        <w:tc>
          <w:tcPr>
            <w:tcW w:w="702" w:type="dxa"/>
            <w:tcBorders/>
          </w:tcPr>
          <w:p>
            <w:pPr>
              <w:pStyle w:val="Normal"/>
              <w:jc w:val="center"/>
              <w:rPr>
                <w:color w:val="000000"/>
                <w:sz w:val="18"/>
              </w:rPr>
            </w:pPr>
            <w:r>
              <w:rPr>
                <w:color w:val="000000"/>
                <w:sz w:val="18"/>
              </w:rPr>
              <w:t>1.16</w:t>
            </w:r>
          </w:p>
        </w:tc>
        <w:tc>
          <w:tcPr>
            <w:tcW w:w="760" w:type="dxa"/>
            <w:tcBorders/>
          </w:tcPr>
          <w:p>
            <w:pPr>
              <w:pStyle w:val="Normal"/>
              <w:jc w:val="center"/>
              <w:rPr>
                <w:color w:val="000000"/>
                <w:sz w:val="18"/>
              </w:rPr>
            </w:pPr>
            <w:r>
              <w:rPr>
                <w:color w:val="000000"/>
                <w:sz w:val="18"/>
              </w:rPr>
              <w:t>0.57</w:t>
            </w:r>
          </w:p>
        </w:tc>
        <w:tc>
          <w:tcPr>
            <w:tcW w:w="744" w:type="dxa"/>
            <w:tcBorders/>
          </w:tcPr>
          <w:p>
            <w:pPr>
              <w:pStyle w:val="Normal"/>
              <w:jc w:val="center"/>
              <w:rPr>
                <w:color w:val="000000"/>
                <w:sz w:val="18"/>
              </w:rPr>
            </w:pPr>
            <w:r>
              <w:rPr>
                <w:color w:val="000000"/>
                <w:sz w:val="18"/>
              </w:rPr>
              <w:t>7.4</w:t>
            </w:r>
          </w:p>
        </w:tc>
        <w:tc>
          <w:tcPr>
            <w:tcW w:w="764" w:type="dxa"/>
            <w:gridSpan w:val="2"/>
            <w:tcBorders/>
          </w:tcPr>
          <w:p>
            <w:pPr>
              <w:pStyle w:val="Normal"/>
              <w:jc w:val="center"/>
              <w:rPr>
                <w:color w:val="000000"/>
                <w:sz w:val="18"/>
              </w:rPr>
            </w:pPr>
            <w:r>
              <w:rPr>
                <w:color w:val="000000"/>
                <w:sz w:val="18"/>
              </w:rPr>
              <w:t>7.0</w:t>
            </w:r>
          </w:p>
        </w:tc>
        <w:tc>
          <w:tcPr>
            <w:tcW w:w="851" w:type="dxa"/>
            <w:tcBorders>
              <w:end w:val="single" w:sz="12" w:space="0" w:color="000000"/>
            </w:tcBorders>
          </w:tcPr>
          <w:p>
            <w:pPr>
              <w:pStyle w:val="Normal"/>
              <w:jc w:val="center"/>
              <w:rPr>
                <w:color w:val="000000"/>
                <w:sz w:val="18"/>
              </w:rPr>
            </w:pPr>
            <w:r>
              <w:rPr>
                <w:color w:val="000000"/>
                <w:sz w:val="18"/>
              </w:rPr>
              <w:t>18.2</w:t>
            </w:r>
          </w:p>
        </w:tc>
      </w:tr>
      <w:tr>
        <w:trPr/>
        <w:tc>
          <w:tcPr>
            <w:tcW w:w="680" w:type="dxa"/>
            <w:tcBorders>
              <w:start w:val="single" w:sz="12" w:space="0" w:color="000000"/>
            </w:tcBorders>
          </w:tcPr>
          <w:p>
            <w:pPr>
              <w:pStyle w:val="Normal"/>
              <w:snapToGrid w:val="false"/>
              <w:jc w:val="center"/>
              <w:rPr>
                <w:b/>
                <w:color w:val="000000"/>
                <w:sz w:val="16"/>
              </w:rPr>
            </w:pPr>
            <w:r>
              <w:rPr>
                <w:b/>
                <w:color w:val="000000"/>
                <w:sz w:val="16"/>
              </w:rPr>
            </w:r>
          </w:p>
        </w:tc>
        <w:tc>
          <w:tcPr>
            <w:tcW w:w="426" w:type="dxa"/>
            <w:tcBorders>
              <w:start w:val="single" w:sz="6" w:space="0" w:color="000000"/>
              <w:end w:val="single" w:sz="6" w:space="0" w:color="000000"/>
            </w:tcBorders>
          </w:tcPr>
          <w:p>
            <w:pPr>
              <w:pStyle w:val="Normal"/>
              <w:jc w:val="center"/>
              <w:rPr>
                <w:sz w:val="14"/>
              </w:rPr>
            </w:pPr>
            <w:r>
              <w:rPr>
                <w:sz w:val="14"/>
              </w:rPr>
              <w:t>III</w:t>
            </w:r>
          </w:p>
        </w:tc>
        <w:tc>
          <w:tcPr>
            <w:tcW w:w="790" w:type="dxa"/>
            <w:tcBorders/>
          </w:tcPr>
          <w:p>
            <w:pPr>
              <w:pStyle w:val="Normal"/>
              <w:jc w:val="center"/>
              <w:rPr>
                <w:sz w:val="18"/>
              </w:rPr>
            </w:pPr>
            <w:r>
              <w:rPr>
                <w:sz w:val="18"/>
              </w:rPr>
              <w:t>-0.28</w:t>
            </w:r>
          </w:p>
        </w:tc>
        <w:tc>
          <w:tcPr>
            <w:tcW w:w="769" w:type="dxa"/>
            <w:tcBorders/>
          </w:tcPr>
          <w:p>
            <w:pPr>
              <w:pStyle w:val="Normal"/>
              <w:jc w:val="center"/>
              <w:rPr>
                <w:sz w:val="18"/>
              </w:rPr>
            </w:pPr>
            <w:r>
              <w:rPr>
                <w:sz w:val="18"/>
              </w:rPr>
              <w:t>2.3</w:t>
            </w:r>
          </w:p>
        </w:tc>
        <w:tc>
          <w:tcPr>
            <w:tcW w:w="992" w:type="dxa"/>
            <w:tcBorders/>
          </w:tcPr>
          <w:p>
            <w:pPr>
              <w:pStyle w:val="Normal"/>
              <w:jc w:val="center"/>
              <w:rPr>
                <w:sz w:val="18"/>
              </w:rPr>
            </w:pPr>
            <w:r>
              <w:rPr>
                <w:sz w:val="18"/>
              </w:rPr>
              <w:t>-3.4</w:t>
            </w:r>
          </w:p>
        </w:tc>
        <w:tc>
          <w:tcPr>
            <w:tcW w:w="825" w:type="dxa"/>
            <w:tcBorders/>
          </w:tcPr>
          <w:p>
            <w:pPr>
              <w:pStyle w:val="Normal"/>
              <w:jc w:val="center"/>
              <w:rPr>
                <w:sz w:val="18"/>
              </w:rPr>
            </w:pPr>
            <w:r>
              <w:rPr>
                <w:sz w:val="18"/>
              </w:rPr>
              <w:t>1.90</w:t>
            </w:r>
          </w:p>
        </w:tc>
        <w:tc>
          <w:tcPr>
            <w:tcW w:w="778" w:type="dxa"/>
            <w:tcBorders/>
          </w:tcPr>
          <w:p>
            <w:pPr>
              <w:pStyle w:val="Normal"/>
              <w:jc w:val="center"/>
              <w:rPr>
                <w:sz w:val="18"/>
              </w:rPr>
            </w:pPr>
            <w:r>
              <w:rPr>
                <w:sz w:val="18"/>
              </w:rPr>
              <w:t>28.5</w:t>
            </w:r>
          </w:p>
        </w:tc>
        <w:tc>
          <w:tcPr>
            <w:tcW w:w="807" w:type="dxa"/>
            <w:tcBorders/>
          </w:tcPr>
          <w:p>
            <w:pPr>
              <w:pStyle w:val="Normal"/>
              <w:jc w:val="center"/>
              <w:rPr>
                <w:sz w:val="18"/>
              </w:rPr>
            </w:pPr>
            <w:r>
              <w:rPr>
                <w:sz w:val="18"/>
              </w:rPr>
              <w:t>25.4</w:t>
            </w:r>
          </w:p>
        </w:tc>
        <w:tc>
          <w:tcPr>
            <w:tcW w:w="702" w:type="dxa"/>
            <w:tcBorders/>
          </w:tcPr>
          <w:p>
            <w:pPr>
              <w:pStyle w:val="Normal"/>
              <w:jc w:val="center"/>
              <w:rPr>
                <w:sz w:val="18"/>
              </w:rPr>
            </w:pPr>
            <w:r>
              <w:rPr>
                <w:sz w:val="18"/>
              </w:rPr>
              <w:t>1.19</w:t>
            </w:r>
          </w:p>
        </w:tc>
        <w:tc>
          <w:tcPr>
            <w:tcW w:w="760" w:type="dxa"/>
            <w:tcBorders/>
          </w:tcPr>
          <w:p>
            <w:pPr>
              <w:pStyle w:val="Normal"/>
              <w:jc w:val="center"/>
              <w:rPr>
                <w:sz w:val="18"/>
              </w:rPr>
            </w:pPr>
            <w:r>
              <w:rPr>
                <w:sz w:val="18"/>
              </w:rPr>
              <w:t>0.82</w:t>
            </w:r>
          </w:p>
        </w:tc>
        <w:tc>
          <w:tcPr>
            <w:tcW w:w="744" w:type="dxa"/>
            <w:tcBorders/>
          </w:tcPr>
          <w:p>
            <w:pPr>
              <w:pStyle w:val="Normal"/>
              <w:jc w:val="center"/>
              <w:rPr>
                <w:sz w:val="18"/>
              </w:rPr>
            </w:pPr>
            <w:r>
              <w:rPr>
                <w:sz w:val="18"/>
              </w:rPr>
              <w:t>8.1</w:t>
            </w:r>
          </w:p>
        </w:tc>
        <w:tc>
          <w:tcPr>
            <w:tcW w:w="764" w:type="dxa"/>
            <w:gridSpan w:val="2"/>
            <w:tcBorders/>
          </w:tcPr>
          <w:p>
            <w:pPr>
              <w:pStyle w:val="Normal"/>
              <w:jc w:val="center"/>
              <w:rPr>
                <w:sz w:val="18"/>
              </w:rPr>
            </w:pPr>
            <w:r>
              <w:rPr>
                <w:sz w:val="18"/>
              </w:rPr>
              <w:t>10.3</w:t>
            </w:r>
          </w:p>
        </w:tc>
        <w:tc>
          <w:tcPr>
            <w:tcW w:w="851" w:type="dxa"/>
            <w:tcBorders>
              <w:end w:val="single" w:sz="12" w:space="0" w:color="000000"/>
            </w:tcBorders>
          </w:tcPr>
          <w:p>
            <w:pPr>
              <w:pStyle w:val="Normal"/>
              <w:jc w:val="center"/>
              <w:rPr>
                <w:sz w:val="18"/>
              </w:rPr>
            </w:pPr>
            <w:r>
              <w:rPr>
                <w:sz w:val="18"/>
              </w:rPr>
              <w:t>29.8</w:t>
            </w:r>
          </w:p>
        </w:tc>
      </w:tr>
      <w:tr>
        <w:trPr/>
        <w:tc>
          <w:tcPr>
            <w:tcW w:w="680" w:type="dxa"/>
            <w:tcBorders>
              <w:start w:val="single" w:sz="12"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IV</w:t>
            </w:r>
          </w:p>
        </w:tc>
        <w:tc>
          <w:tcPr>
            <w:tcW w:w="790" w:type="dxa"/>
            <w:tcBorders/>
          </w:tcPr>
          <w:p>
            <w:pPr>
              <w:pStyle w:val="Normal"/>
              <w:jc w:val="center"/>
              <w:rPr>
                <w:sz w:val="18"/>
              </w:rPr>
            </w:pPr>
            <w:r>
              <w:rPr>
                <w:sz w:val="18"/>
              </w:rPr>
              <w:t>0.08</w:t>
            </w:r>
          </w:p>
        </w:tc>
        <w:tc>
          <w:tcPr>
            <w:tcW w:w="769" w:type="dxa"/>
            <w:tcBorders/>
          </w:tcPr>
          <w:p>
            <w:pPr>
              <w:pStyle w:val="Normal"/>
              <w:jc w:val="center"/>
              <w:rPr>
                <w:sz w:val="18"/>
              </w:rPr>
            </w:pPr>
            <w:r>
              <w:rPr>
                <w:sz w:val="18"/>
              </w:rPr>
              <w:t>1.7</w:t>
            </w:r>
          </w:p>
        </w:tc>
        <w:tc>
          <w:tcPr>
            <w:tcW w:w="992" w:type="dxa"/>
            <w:tcBorders/>
          </w:tcPr>
          <w:p>
            <w:pPr>
              <w:pStyle w:val="Normal"/>
              <w:jc w:val="center"/>
              <w:rPr>
                <w:sz w:val="18"/>
              </w:rPr>
            </w:pPr>
            <w:r>
              <w:rPr>
                <w:sz w:val="18"/>
              </w:rPr>
              <w:t>0.9</w:t>
            </w:r>
          </w:p>
        </w:tc>
        <w:tc>
          <w:tcPr>
            <w:tcW w:w="825" w:type="dxa"/>
            <w:tcBorders/>
          </w:tcPr>
          <w:p>
            <w:pPr>
              <w:pStyle w:val="Normal"/>
              <w:jc w:val="center"/>
              <w:rPr>
                <w:sz w:val="18"/>
              </w:rPr>
            </w:pPr>
            <w:r>
              <w:rPr>
                <w:sz w:val="18"/>
              </w:rPr>
              <w:t>2.68</w:t>
            </w:r>
          </w:p>
        </w:tc>
        <w:tc>
          <w:tcPr>
            <w:tcW w:w="778" w:type="dxa"/>
            <w:tcBorders/>
          </w:tcPr>
          <w:p>
            <w:pPr>
              <w:pStyle w:val="Normal"/>
              <w:jc w:val="center"/>
              <w:rPr>
                <w:sz w:val="18"/>
              </w:rPr>
            </w:pPr>
            <w:r>
              <w:rPr>
                <w:sz w:val="18"/>
              </w:rPr>
              <w:t>29.0</w:t>
            </w:r>
          </w:p>
        </w:tc>
        <w:tc>
          <w:tcPr>
            <w:tcW w:w="807" w:type="dxa"/>
            <w:tcBorders/>
          </w:tcPr>
          <w:p>
            <w:pPr>
              <w:pStyle w:val="Normal"/>
              <w:jc w:val="center"/>
              <w:rPr>
                <w:sz w:val="18"/>
              </w:rPr>
            </w:pPr>
            <w:r>
              <w:rPr>
                <w:sz w:val="18"/>
              </w:rPr>
              <w:t>37.3</w:t>
            </w:r>
          </w:p>
        </w:tc>
        <w:tc>
          <w:tcPr>
            <w:tcW w:w="702" w:type="dxa"/>
            <w:tcBorders/>
          </w:tcPr>
          <w:p>
            <w:pPr>
              <w:pStyle w:val="Normal"/>
              <w:jc w:val="center"/>
              <w:rPr>
                <w:sz w:val="18"/>
              </w:rPr>
            </w:pPr>
            <w:r>
              <w:rPr>
                <w:sz w:val="18"/>
              </w:rPr>
              <w:t>1.21</w:t>
            </w:r>
          </w:p>
        </w:tc>
        <w:tc>
          <w:tcPr>
            <w:tcW w:w="760" w:type="dxa"/>
            <w:tcBorders/>
          </w:tcPr>
          <w:p>
            <w:pPr>
              <w:pStyle w:val="Normal"/>
              <w:jc w:val="center"/>
              <w:rPr>
                <w:sz w:val="18"/>
              </w:rPr>
            </w:pPr>
            <w:r>
              <w:rPr>
                <w:sz w:val="18"/>
              </w:rPr>
              <w:t>0.65</w:t>
            </w:r>
          </w:p>
        </w:tc>
        <w:tc>
          <w:tcPr>
            <w:tcW w:w="744" w:type="dxa"/>
            <w:tcBorders/>
          </w:tcPr>
          <w:p>
            <w:pPr>
              <w:pStyle w:val="Normal"/>
              <w:jc w:val="center"/>
              <w:rPr>
                <w:sz w:val="18"/>
              </w:rPr>
            </w:pPr>
            <w:r>
              <w:rPr>
                <w:sz w:val="18"/>
              </w:rPr>
              <w:t>8.3</w:t>
            </w:r>
          </w:p>
        </w:tc>
        <w:tc>
          <w:tcPr>
            <w:tcW w:w="764" w:type="dxa"/>
            <w:gridSpan w:val="2"/>
            <w:tcBorders/>
          </w:tcPr>
          <w:p>
            <w:pPr>
              <w:pStyle w:val="Normal"/>
              <w:jc w:val="center"/>
              <w:rPr>
                <w:sz w:val="18"/>
              </w:rPr>
            </w:pPr>
            <w:r>
              <w:rPr>
                <w:sz w:val="18"/>
              </w:rPr>
              <w:t>8.0</w:t>
            </w:r>
          </w:p>
        </w:tc>
        <w:tc>
          <w:tcPr>
            <w:tcW w:w="851" w:type="dxa"/>
            <w:tcBorders>
              <w:end w:val="single" w:sz="12" w:space="0" w:color="000000"/>
            </w:tcBorders>
          </w:tcPr>
          <w:p>
            <w:pPr>
              <w:pStyle w:val="Normal"/>
              <w:jc w:val="center"/>
              <w:rPr>
                <w:sz w:val="18"/>
              </w:rPr>
            </w:pPr>
            <w:r>
              <w:rPr>
                <w:sz w:val="18"/>
              </w:rPr>
              <w:t>36.1</w:t>
            </w:r>
          </w:p>
        </w:tc>
      </w:tr>
      <w:tr>
        <w:trPr/>
        <w:tc>
          <w:tcPr>
            <w:tcW w:w="680" w:type="dxa"/>
            <w:tcBorders>
              <w:start w:val="single" w:sz="12" w:space="0" w:color="000000"/>
            </w:tcBorders>
          </w:tcPr>
          <w:p>
            <w:pPr>
              <w:pStyle w:val="Normal"/>
              <w:jc w:val="center"/>
              <w:rPr>
                <w:b/>
                <w:sz w:val="16"/>
              </w:rPr>
            </w:pPr>
            <w:r>
              <w:rPr>
                <w:b/>
                <w:sz w:val="16"/>
              </w:rPr>
              <w:t>1999</w:t>
            </w:r>
          </w:p>
        </w:tc>
        <w:tc>
          <w:tcPr>
            <w:tcW w:w="426" w:type="dxa"/>
            <w:tcBorders>
              <w:start w:val="single" w:sz="6" w:space="0" w:color="000000"/>
              <w:end w:val="single" w:sz="6" w:space="0" w:color="000000"/>
            </w:tcBorders>
          </w:tcPr>
          <w:p>
            <w:pPr>
              <w:pStyle w:val="Normal"/>
              <w:jc w:val="center"/>
              <w:rPr>
                <w:sz w:val="14"/>
              </w:rPr>
            </w:pPr>
            <w:r>
              <w:rPr>
                <w:sz w:val="14"/>
              </w:rPr>
              <w:t>I</w:t>
            </w:r>
          </w:p>
        </w:tc>
        <w:tc>
          <w:tcPr>
            <w:tcW w:w="790" w:type="dxa"/>
            <w:tcBorders/>
          </w:tcPr>
          <w:p>
            <w:pPr>
              <w:pStyle w:val="Normal"/>
              <w:jc w:val="center"/>
              <w:rPr>
                <w:sz w:val="18"/>
              </w:rPr>
            </w:pPr>
            <w:r>
              <w:rPr>
                <w:sz w:val="18"/>
              </w:rPr>
              <w:t>0.95</w:t>
            </w:r>
          </w:p>
        </w:tc>
        <w:tc>
          <w:tcPr>
            <w:tcW w:w="769" w:type="dxa"/>
            <w:tcBorders/>
          </w:tcPr>
          <w:p>
            <w:pPr>
              <w:pStyle w:val="Normal"/>
              <w:jc w:val="center"/>
              <w:rPr>
                <w:sz w:val="18"/>
              </w:rPr>
            </w:pPr>
            <w:r>
              <w:rPr>
                <w:sz w:val="18"/>
              </w:rPr>
              <w:t>3.0</w:t>
            </w:r>
          </w:p>
        </w:tc>
        <w:tc>
          <w:tcPr>
            <w:tcW w:w="992" w:type="dxa"/>
            <w:tcBorders/>
          </w:tcPr>
          <w:p>
            <w:pPr>
              <w:pStyle w:val="Normal"/>
              <w:jc w:val="center"/>
              <w:rPr>
                <w:sz w:val="18"/>
              </w:rPr>
            </w:pPr>
            <w:r>
              <w:rPr>
                <w:sz w:val="18"/>
              </w:rPr>
              <w:t>12.0</w:t>
            </w:r>
          </w:p>
        </w:tc>
        <w:tc>
          <w:tcPr>
            <w:tcW w:w="825" w:type="dxa"/>
            <w:tcBorders/>
          </w:tcPr>
          <w:p>
            <w:pPr>
              <w:pStyle w:val="Normal"/>
              <w:jc w:val="center"/>
              <w:rPr>
                <w:sz w:val="18"/>
              </w:rPr>
            </w:pPr>
            <w:r>
              <w:rPr>
                <w:sz w:val="18"/>
              </w:rPr>
              <w:t>2.63</w:t>
            </w:r>
          </w:p>
        </w:tc>
        <w:tc>
          <w:tcPr>
            <w:tcW w:w="778" w:type="dxa"/>
            <w:tcBorders/>
          </w:tcPr>
          <w:p>
            <w:pPr>
              <w:pStyle w:val="Normal"/>
              <w:jc w:val="center"/>
              <w:rPr>
                <w:sz w:val="18"/>
              </w:rPr>
            </w:pPr>
            <w:r>
              <w:rPr>
                <w:sz w:val="18"/>
              </w:rPr>
              <w:t>30.0</w:t>
            </w:r>
          </w:p>
        </w:tc>
        <w:tc>
          <w:tcPr>
            <w:tcW w:w="807" w:type="dxa"/>
            <w:tcBorders/>
          </w:tcPr>
          <w:p>
            <w:pPr>
              <w:pStyle w:val="Normal"/>
              <w:jc w:val="center"/>
              <w:rPr>
                <w:sz w:val="18"/>
              </w:rPr>
            </w:pPr>
            <w:r>
              <w:rPr>
                <w:sz w:val="18"/>
              </w:rPr>
              <w:t>36.6</w:t>
            </w:r>
          </w:p>
        </w:tc>
        <w:tc>
          <w:tcPr>
            <w:tcW w:w="702" w:type="dxa"/>
            <w:tcBorders/>
          </w:tcPr>
          <w:p>
            <w:pPr>
              <w:pStyle w:val="Normal"/>
              <w:jc w:val="center"/>
              <w:rPr>
                <w:sz w:val="18"/>
              </w:rPr>
            </w:pPr>
            <w:r>
              <w:rPr>
                <w:sz w:val="18"/>
              </w:rPr>
              <w:t>1.72</w:t>
            </w:r>
          </w:p>
        </w:tc>
        <w:tc>
          <w:tcPr>
            <w:tcW w:w="760" w:type="dxa"/>
            <w:tcBorders/>
          </w:tcPr>
          <w:p>
            <w:pPr>
              <w:pStyle w:val="Normal"/>
              <w:jc w:val="center"/>
              <w:rPr>
                <w:sz w:val="18"/>
              </w:rPr>
            </w:pPr>
            <w:r>
              <w:rPr>
                <w:sz w:val="18"/>
              </w:rPr>
              <w:t>17.21</w:t>
            </w:r>
          </w:p>
        </w:tc>
        <w:tc>
          <w:tcPr>
            <w:tcW w:w="744" w:type="dxa"/>
            <w:tcBorders/>
          </w:tcPr>
          <w:p>
            <w:pPr>
              <w:pStyle w:val="Normal"/>
              <w:jc w:val="center"/>
              <w:rPr>
                <w:sz w:val="18"/>
              </w:rPr>
            </w:pPr>
            <w:r>
              <w:rPr>
                <w:sz w:val="18"/>
              </w:rPr>
              <w:t>51.4</w:t>
            </w:r>
          </w:p>
        </w:tc>
        <w:tc>
          <w:tcPr>
            <w:tcW w:w="764" w:type="dxa"/>
            <w:gridSpan w:val="2"/>
            <w:tcBorders/>
          </w:tcPr>
          <w:p>
            <w:pPr>
              <w:pStyle w:val="Normal"/>
              <w:jc w:val="center"/>
              <w:rPr>
                <w:sz w:val="18"/>
              </w:rPr>
            </w:pPr>
            <w:r>
              <w:rPr>
                <w:sz w:val="18"/>
              </w:rPr>
              <w:t>312.3</w:t>
            </w:r>
          </w:p>
        </w:tc>
        <w:tc>
          <w:tcPr>
            <w:tcW w:w="851" w:type="dxa"/>
            <w:tcBorders>
              <w:end w:val="single" w:sz="12" w:space="0" w:color="000000"/>
            </w:tcBorders>
          </w:tcPr>
          <w:p>
            <w:pPr>
              <w:pStyle w:val="Normal"/>
              <w:jc w:val="center"/>
              <w:rPr>
                <w:sz w:val="18"/>
              </w:rPr>
            </w:pPr>
            <w:r>
              <w:rPr>
                <w:sz w:val="18"/>
              </w:rPr>
              <w:t>21.9</w:t>
            </w:r>
          </w:p>
        </w:tc>
      </w:tr>
      <w:tr>
        <w:trPr/>
        <w:tc>
          <w:tcPr>
            <w:tcW w:w="680" w:type="dxa"/>
            <w:tcBorders>
              <w:start w:val="single" w:sz="12"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II</w:t>
            </w:r>
          </w:p>
        </w:tc>
        <w:tc>
          <w:tcPr>
            <w:tcW w:w="790" w:type="dxa"/>
            <w:tcBorders/>
          </w:tcPr>
          <w:p>
            <w:pPr>
              <w:pStyle w:val="Normal"/>
              <w:jc w:val="center"/>
              <w:rPr>
                <w:sz w:val="18"/>
              </w:rPr>
            </w:pPr>
            <w:r>
              <w:rPr>
                <w:sz w:val="18"/>
              </w:rPr>
              <w:t>0.35</w:t>
            </w:r>
          </w:p>
        </w:tc>
        <w:tc>
          <w:tcPr>
            <w:tcW w:w="769" w:type="dxa"/>
            <w:tcBorders/>
          </w:tcPr>
          <w:p>
            <w:pPr>
              <w:pStyle w:val="Normal"/>
              <w:jc w:val="center"/>
              <w:rPr>
                <w:sz w:val="18"/>
              </w:rPr>
            </w:pPr>
            <w:r>
              <w:rPr>
                <w:sz w:val="18"/>
              </w:rPr>
              <w:t>3.3</w:t>
            </w:r>
          </w:p>
        </w:tc>
        <w:tc>
          <w:tcPr>
            <w:tcW w:w="992" w:type="dxa"/>
            <w:tcBorders/>
          </w:tcPr>
          <w:p>
            <w:pPr>
              <w:pStyle w:val="Normal"/>
              <w:jc w:val="center"/>
              <w:rPr>
                <w:sz w:val="18"/>
              </w:rPr>
            </w:pPr>
            <w:r>
              <w:rPr>
                <w:sz w:val="18"/>
              </w:rPr>
              <w:t>4.3</w:t>
            </w:r>
          </w:p>
        </w:tc>
        <w:tc>
          <w:tcPr>
            <w:tcW w:w="825" w:type="dxa"/>
            <w:tcBorders/>
          </w:tcPr>
          <w:p>
            <w:pPr>
              <w:pStyle w:val="Normal"/>
              <w:jc w:val="center"/>
              <w:rPr>
                <w:sz w:val="18"/>
              </w:rPr>
            </w:pPr>
            <w:r>
              <w:rPr>
                <w:sz w:val="18"/>
              </w:rPr>
              <w:t>2.01</w:t>
            </w:r>
          </w:p>
        </w:tc>
        <w:tc>
          <w:tcPr>
            <w:tcW w:w="778" w:type="dxa"/>
            <w:tcBorders/>
          </w:tcPr>
          <w:p>
            <w:pPr>
              <w:pStyle w:val="Normal"/>
              <w:jc w:val="center"/>
              <w:rPr>
                <w:sz w:val="18"/>
              </w:rPr>
            </w:pPr>
            <w:r>
              <w:rPr>
                <w:sz w:val="18"/>
              </w:rPr>
              <w:t>31.5</w:t>
            </w:r>
          </w:p>
        </w:tc>
        <w:tc>
          <w:tcPr>
            <w:tcW w:w="807" w:type="dxa"/>
            <w:tcBorders/>
          </w:tcPr>
          <w:p>
            <w:pPr>
              <w:pStyle w:val="Normal"/>
              <w:jc w:val="center"/>
              <w:rPr>
                <w:sz w:val="18"/>
              </w:rPr>
            </w:pPr>
            <w:r>
              <w:rPr>
                <w:sz w:val="18"/>
              </w:rPr>
              <w:t>27.0</w:t>
            </w:r>
          </w:p>
        </w:tc>
        <w:tc>
          <w:tcPr>
            <w:tcW w:w="702" w:type="dxa"/>
            <w:tcBorders/>
          </w:tcPr>
          <w:p>
            <w:pPr>
              <w:pStyle w:val="Normal"/>
              <w:jc w:val="center"/>
              <w:rPr>
                <w:sz w:val="18"/>
              </w:rPr>
            </w:pPr>
            <w:r>
              <w:rPr>
                <w:sz w:val="18"/>
              </w:rPr>
              <w:t>1.77</w:t>
            </w:r>
          </w:p>
        </w:tc>
        <w:tc>
          <w:tcPr>
            <w:tcW w:w="760" w:type="dxa"/>
            <w:tcBorders/>
          </w:tcPr>
          <w:p>
            <w:pPr>
              <w:pStyle w:val="Normal"/>
              <w:jc w:val="center"/>
              <w:rPr>
                <w:sz w:val="18"/>
              </w:rPr>
            </w:pPr>
            <w:r>
              <w:rPr>
                <w:sz w:val="18"/>
              </w:rPr>
              <w:t>0.96</w:t>
            </w:r>
          </w:p>
        </w:tc>
        <w:tc>
          <w:tcPr>
            <w:tcW w:w="744" w:type="dxa"/>
            <w:tcBorders/>
          </w:tcPr>
          <w:p>
            <w:pPr>
              <w:pStyle w:val="Normal"/>
              <w:jc w:val="center"/>
              <w:rPr>
                <w:sz w:val="18"/>
              </w:rPr>
            </w:pPr>
            <w:r>
              <w:rPr>
                <w:sz w:val="18"/>
              </w:rPr>
              <w:t>53.0</w:t>
            </w:r>
          </w:p>
        </w:tc>
        <w:tc>
          <w:tcPr>
            <w:tcW w:w="764" w:type="dxa"/>
            <w:gridSpan w:val="2"/>
            <w:tcBorders/>
          </w:tcPr>
          <w:p>
            <w:pPr>
              <w:pStyle w:val="Normal"/>
              <w:jc w:val="center"/>
              <w:rPr>
                <w:sz w:val="18"/>
              </w:rPr>
            </w:pPr>
            <w:r>
              <w:rPr>
                <w:sz w:val="18"/>
              </w:rPr>
              <w:t>11.5</w:t>
            </w:r>
          </w:p>
        </w:tc>
        <w:tc>
          <w:tcPr>
            <w:tcW w:w="851" w:type="dxa"/>
            <w:tcBorders>
              <w:end w:val="single" w:sz="12" w:space="0" w:color="000000"/>
            </w:tcBorders>
          </w:tcPr>
          <w:p>
            <w:pPr>
              <w:pStyle w:val="Normal"/>
              <w:jc w:val="center"/>
              <w:rPr>
                <w:sz w:val="18"/>
              </w:rPr>
            </w:pPr>
            <w:r>
              <w:rPr>
                <w:sz w:val="18"/>
              </w:rPr>
              <w:t>21.8</w:t>
            </w:r>
          </w:p>
        </w:tc>
      </w:tr>
      <w:tr>
        <w:trPr/>
        <w:tc>
          <w:tcPr>
            <w:tcW w:w="680" w:type="dxa"/>
            <w:tcBorders>
              <w:start w:val="single" w:sz="12"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III</w:t>
            </w:r>
          </w:p>
        </w:tc>
        <w:tc>
          <w:tcPr>
            <w:tcW w:w="790" w:type="dxa"/>
            <w:tcBorders/>
          </w:tcPr>
          <w:p>
            <w:pPr>
              <w:pStyle w:val="Normal"/>
              <w:jc w:val="center"/>
              <w:rPr>
                <w:sz w:val="18"/>
              </w:rPr>
            </w:pPr>
            <w:r>
              <w:rPr>
                <w:sz w:val="18"/>
              </w:rPr>
              <w:t>0.65</w:t>
            </w:r>
          </w:p>
        </w:tc>
        <w:tc>
          <w:tcPr>
            <w:tcW w:w="769" w:type="dxa"/>
            <w:tcBorders/>
          </w:tcPr>
          <w:p>
            <w:pPr>
              <w:pStyle w:val="Normal"/>
              <w:jc w:val="center"/>
              <w:rPr>
                <w:sz w:val="18"/>
              </w:rPr>
            </w:pPr>
            <w:r>
              <w:rPr>
                <w:sz w:val="18"/>
              </w:rPr>
              <w:t>6.3</w:t>
            </w:r>
          </w:p>
        </w:tc>
        <w:tc>
          <w:tcPr>
            <w:tcW w:w="992" w:type="dxa"/>
            <w:tcBorders/>
          </w:tcPr>
          <w:p>
            <w:pPr>
              <w:pStyle w:val="Normal"/>
              <w:jc w:val="center"/>
              <w:rPr>
                <w:sz w:val="18"/>
              </w:rPr>
            </w:pPr>
            <w:r>
              <w:rPr>
                <w:sz w:val="18"/>
              </w:rPr>
              <w:t>8.1</w:t>
            </w:r>
          </w:p>
        </w:tc>
        <w:tc>
          <w:tcPr>
            <w:tcW w:w="825" w:type="dxa"/>
            <w:tcBorders/>
          </w:tcPr>
          <w:p>
            <w:pPr>
              <w:pStyle w:val="Normal"/>
              <w:jc w:val="center"/>
              <w:rPr>
                <w:sz w:val="18"/>
              </w:rPr>
            </w:pPr>
            <w:r>
              <w:rPr>
                <w:sz w:val="18"/>
              </w:rPr>
              <w:t>1.57</w:t>
            </w:r>
          </w:p>
        </w:tc>
        <w:tc>
          <w:tcPr>
            <w:tcW w:w="778" w:type="dxa"/>
            <w:tcBorders/>
          </w:tcPr>
          <w:p>
            <w:pPr>
              <w:pStyle w:val="Normal"/>
              <w:jc w:val="center"/>
              <w:rPr>
                <w:sz w:val="18"/>
              </w:rPr>
            </w:pPr>
            <w:r>
              <w:rPr>
                <w:sz w:val="18"/>
              </w:rPr>
              <w:t>30.2</w:t>
            </w:r>
          </w:p>
        </w:tc>
        <w:tc>
          <w:tcPr>
            <w:tcW w:w="807" w:type="dxa"/>
            <w:tcBorders/>
          </w:tcPr>
          <w:p>
            <w:pPr>
              <w:pStyle w:val="Normal"/>
              <w:jc w:val="center"/>
              <w:rPr>
                <w:sz w:val="18"/>
              </w:rPr>
            </w:pPr>
            <w:r>
              <w:rPr>
                <w:sz w:val="18"/>
              </w:rPr>
              <w:t>20.6</w:t>
            </w:r>
          </w:p>
        </w:tc>
        <w:tc>
          <w:tcPr>
            <w:tcW w:w="702" w:type="dxa"/>
            <w:tcBorders/>
          </w:tcPr>
          <w:p>
            <w:pPr>
              <w:pStyle w:val="Normal"/>
              <w:jc w:val="center"/>
              <w:rPr>
                <w:sz w:val="18"/>
              </w:rPr>
            </w:pPr>
            <w:r>
              <w:rPr>
                <w:sz w:val="18"/>
              </w:rPr>
              <w:t>1.92</w:t>
            </w:r>
          </w:p>
        </w:tc>
        <w:tc>
          <w:tcPr>
            <w:tcW w:w="760" w:type="dxa"/>
            <w:tcBorders/>
          </w:tcPr>
          <w:p>
            <w:pPr>
              <w:pStyle w:val="Normal"/>
              <w:jc w:val="center"/>
              <w:rPr>
                <w:sz w:val="18"/>
              </w:rPr>
            </w:pPr>
            <w:r>
              <w:rPr>
                <w:sz w:val="18"/>
              </w:rPr>
              <w:t>2.84</w:t>
            </w:r>
          </w:p>
        </w:tc>
        <w:tc>
          <w:tcPr>
            <w:tcW w:w="744" w:type="dxa"/>
            <w:tcBorders/>
          </w:tcPr>
          <w:p>
            <w:pPr>
              <w:pStyle w:val="Normal"/>
              <w:jc w:val="center"/>
              <w:rPr>
                <w:sz w:val="18"/>
              </w:rPr>
            </w:pPr>
            <w:r>
              <w:rPr>
                <w:sz w:val="18"/>
              </w:rPr>
              <w:t>62.2</w:t>
            </w:r>
          </w:p>
        </w:tc>
        <w:tc>
          <w:tcPr>
            <w:tcW w:w="764" w:type="dxa"/>
            <w:gridSpan w:val="2"/>
            <w:tcBorders/>
          </w:tcPr>
          <w:p>
            <w:pPr>
              <w:pStyle w:val="Normal"/>
              <w:jc w:val="center"/>
              <w:rPr>
                <w:sz w:val="18"/>
              </w:rPr>
            </w:pPr>
            <w:r>
              <w:rPr>
                <w:sz w:val="18"/>
              </w:rPr>
              <w:t>39.3</w:t>
            </w:r>
          </w:p>
        </w:tc>
        <w:tc>
          <w:tcPr>
            <w:tcW w:w="851" w:type="dxa"/>
            <w:tcBorders>
              <w:end w:val="single" w:sz="12" w:space="0" w:color="000000"/>
            </w:tcBorders>
          </w:tcPr>
          <w:p>
            <w:pPr>
              <w:pStyle w:val="Normal"/>
              <w:jc w:val="center"/>
              <w:rPr>
                <w:sz w:val="18"/>
              </w:rPr>
            </w:pPr>
            <w:r>
              <w:rPr>
                <w:sz w:val="18"/>
              </w:rPr>
              <w:t>11.5</w:t>
            </w:r>
          </w:p>
        </w:tc>
      </w:tr>
      <w:tr>
        <w:trPr/>
        <w:tc>
          <w:tcPr>
            <w:tcW w:w="680" w:type="dxa"/>
            <w:tcBorders>
              <w:start w:val="single" w:sz="12"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IV</w:t>
            </w:r>
          </w:p>
        </w:tc>
        <w:tc>
          <w:tcPr>
            <w:tcW w:w="790" w:type="dxa"/>
            <w:tcBorders/>
          </w:tcPr>
          <w:p>
            <w:pPr>
              <w:pStyle w:val="Normal"/>
              <w:jc w:val="center"/>
              <w:rPr>
                <w:sz w:val="18"/>
              </w:rPr>
            </w:pPr>
            <w:r>
              <w:rPr>
                <w:sz w:val="18"/>
              </w:rPr>
              <w:t>0.91</w:t>
            </w:r>
          </w:p>
        </w:tc>
        <w:tc>
          <w:tcPr>
            <w:tcW w:w="769" w:type="dxa"/>
            <w:tcBorders/>
          </w:tcPr>
          <w:p>
            <w:pPr>
              <w:pStyle w:val="Normal"/>
              <w:jc w:val="center"/>
              <w:rPr>
                <w:sz w:val="18"/>
              </w:rPr>
            </w:pPr>
            <w:r>
              <w:rPr>
                <w:sz w:val="18"/>
              </w:rPr>
              <w:t>8.9</w:t>
            </w:r>
          </w:p>
        </w:tc>
        <w:tc>
          <w:tcPr>
            <w:tcW w:w="992" w:type="dxa"/>
            <w:tcBorders/>
          </w:tcPr>
          <w:p>
            <w:pPr>
              <w:pStyle w:val="Normal"/>
              <w:jc w:val="center"/>
              <w:rPr>
                <w:sz w:val="18"/>
              </w:rPr>
            </w:pPr>
            <w:r>
              <w:rPr>
                <w:sz w:val="18"/>
              </w:rPr>
              <w:t>11.5</w:t>
            </w:r>
          </w:p>
        </w:tc>
        <w:tc>
          <w:tcPr>
            <w:tcW w:w="825" w:type="dxa"/>
            <w:tcBorders/>
          </w:tcPr>
          <w:p>
            <w:pPr>
              <w:pStyle w:val="Normal"/>
              <w:jc w:val="center"/>
              <w:rPr>
                <w:sz w:val="18"/>
              </w:rPr>
            </w:pPr>
            <w:r>
              <w:rPr>
                <w:sz w:val="18"/>
              </w:rPr>
              <w:t>1.46</w:t>
            </w:r>
          </w:p>
        </w:tc>
        <w:tc>
          <w:tcPr>
            <w:tcW w:w="778" w:type="dxa"/>
            <w:tcBorders/>
          </w:tcPr>
          <w:p>
            <w:pPr>
              <w:pStyle w:val="Normal"/>
              <w:jc w:val="center"/>
              <w:rPr>
                <w:sz w:val="18"/>
              </w:rPr>
            </w:pPr>
            <w:r>
              <w:rPr>
                <w:sz w:val="18"/>
              </w:rPr>
              <w:t>25.6</w:t>
            </w:r>
          </w:p>
        </w:tc>
        <w:tc>
          <w:tcPr>
            <w:tcW w:w="807" w:type="dxa"/>
            <w:tcBorders/>
          </w:tcPr>
          <w:p>
            <w:pPr>
              <w:pStyle w:val="Normal"/>
              <w:jc w:val="center"/>
              <w:rPr>
                <w:sz w:val="18"/>
              </w:rPr>
            </w:pPr>
            <w:r>
              <w:rPr>
                <w:sz w:val="18"/>
              </w:rPr>
              <w:t>19.0</w:t>
            </w:r>
          </w:p>
        </w:tc>
        <w:tc>
          <w:tcPr>
            <w:tcW w:w="702" w:type="dxa"/>
            <w:tcBorders/>
          </w:tcPr>
          <w:p>
            <w:pPr>
              <w:pStyle w:val="Normal"/>
              <w:jc w:val="center"/>
              <w:rPr>
                <w:sz w:val="18"/>
              </w:rPr>
            </w:pPr>
            <w:r>
              <w:rPr>
                <w:sz w:val="18"/>
              </w:rPr>
              <w:t>1.79</w:t>
            </w:r>
          </w:p>
        </w:tc>
        <w:tc>
          <w:tcPr>
            <w:tcW w:w="760" w:type="dxa"/>
            <w:tcBorders/>
          </w:tcPr>
          <w:p>
            <w:pPr>
              <w:pStyle w:val="Normal"/>
              <w:jc w:val="center"/>
              <w:rPr>
                <w:sz w:val="18"/>
              </w:rPr>
            </w:pPr>
            <w:r>
              <w:rPr>
                <w:sz w:val="18"/>
              </w:rPr>
              <w:t>-2.30</w:t>
            </w:r>
          </w:p>
        </w:tc>
        <w:tc>
          <w:tcPr>
            <w:tcW w:w="744" w:type="dxa"/>
            <w:tcBorders/>
          </w:tcPr>
          <w:p>
            <w:pPr>
              <w:pStyle w:val="Normal"/>
              <w:jc w:val="center"/>
              <w:rPr>
                <w:sz w:val="18"/>
              </w:rPr>
            </w:pPr>
            <w:r>
              <w:rPr>
                <w:sz w:val="18"/>
              </w:rPr>
              <w:t>48.0</w:t>
            </w:r>
          </w:p>
        </w:tc>
        <w:tc>
          <w:tcPr>
            <w:tcW w:w="764" w:type="dxa"/>
            <w:gridSpan w:val="2"/>
            <w:tcBorders/>
          </w:tcPr>
          <w:p>
            <w:pPr>
              <w:pStyle w:val="Normal"/>
              <w:jc w:val="center"/>
              <w:rPr>
                <w:sz w:val="18"/>
              </w:rPr>
            </w:pPr>
            <w:r>
              <w:rPr>
                <w:sz w:val="18"/>
              </w:rPr>
              <w:t>-25.0</w:t>
            </w:r>
          </w:p>
        </w:tc>
        <w:tc>
          <w:tcPr>
            <w:tcW w:w="851" w:type="dxa"/>
            <w:tcBorders>
              <w:end w:val="single" w:sz="12" w:space="0" w:color="000000"/>
            </w:tcBorders>
          </w:tcPr>
          <w:p>
            <w:pPr>
              <w:pStyle w:val="Normal"/>
              <w:jc w:val="center"/>
              <w:rPr>
                <w:sz w:val="18"/>
              </w:rPr>
            </w:pPr>
            <w:r>
              <w:rPr>
                <w:sz w:val="18"/>
              </w:rPr>
              <w:t>6.7</w:t>
            </w:r>
          </w:p>
        </w:tc>
      </w:tr>
      <w:tr>
        <w:trPr/>
        <w:tc>
          <w:tcPr>
            <w:tcW w:w="680" w:type="dxa"/>
            <w:tcBorders>
              <w:start w:val="single" w:sz="12" w:space="0" w:color="000000"/>
            </w:tcBorders>
          </w:tcPr>
          <w:p>
            <w:pPr>
              <w:pStyle w:val="Normal"/>
              <w:jc w:val="center"/>
              <w:rPr>
                <w:b/>
                <w:sz w:val="16"/>
              </w:rPr>
            </w:pPr>
            <w:r>
              <w:rPr>
                <w:b/>
                <w:sz w:val="16"/>
              </w:rPr>
              <w:t>2000</w:t>
            </w:r>
          </w:p>
        </w:tc>
        <w:tc>
          <w:tcPr>
            <w:tcW w:w="426" w:type="dxa"/>
            <w:tcBorders>
              <w:start w:val="single" w:sz="6" w:space="0" w:color="000000"/>
              <w:end w:val="single" w:sz="6" w:space="0" w:color="000000"/>
            </w:tcBorders>
          </w:tcPr>
          <w:p>
            <w:pPr>
              <w:pStyle w:val="Normal"/>
              <w:jc w:val="center"/>
              <w:rPr>
                <w:sz w:val="14"/>
              </w:rPr>
            </w:pPr>
            <w:r>
              <w:rPr>
                <w:sz w:val="14"/>
              </w:rPr>
              <w:t>I</w:t>
            </w:r>
          </w:p>
        </w:tc>
        <w:tc>
          <w:tcPr>
            <w:tcW w:w="790" w:type="dxa"/>
            <w:tcBorders/>
          </w:tcPr>
          <w:p>
            <w:pPr>
              <w:pStyle w:val="Normal"/>
              <w:jc w:val="center"/>
              <w:rPr>
                <w:sz w:val="18"/>
              </w:rPr>
            </w:pPr>
            <w:r>
              <w:rPr>
                <w:sz w:val="18"/>
              </w:rPr>
              <w:t>0.32</w:t>
            </w:r>
          </w:p>
        </w:tc>
        <w:tc>
          <w:tcPr>
            <w:tcW w:w="769" w:type="dxa"/>
            <w:tcBorders/>
          </w:tcPr>
          <w:p>
            <w:pPr>
              <w:pStyle w:val="Normal"/>
              <w:jc w:val="center"/>
              <w:rPr>
                <w:sz w:val="18"/>
              </w:rPr>
            </w:pPr>
            <w:r>
              <w:rPr>
                <w:sz w:val="18"/>
              </w:rPr>
              <w:t>6.9</w:t>
            </w:r>
          </w:p>
        </w:tc>
        <w:tc>
          <w:tcPr>
            <w:tcW w:w="992" w:type="dxa"/>
            <w:tcBorders/>
          </w:tcPr>
          <w:p>
            <w:pPr>
              <w:pStyle w:val="Normal"/>
              <w:jc w:val="center"/>
              <w:rPr>
                <w:sz w:val="18"/>
              </w:rPr>
            </w:pPr>
            <w:r>
              <w:rPr>
                <w:sz w:val="18"/>
              </w:rPr>
              <w:t>4.0</w:t>
            </w:r>
          </w:p>
        </w:tc>
        <w:tc>
          <w:tcPr>
            <w:tcW w:w="825" w:type="dxa"/>
            <w:tcBorders/>
          </w:tcPr>
          <w:p>
            <w:pPr>
              <w:pStyle w:val="Normal"/>
              <w:jc w:val="center"/>
              <w:rPr>
                <w:sz w:val="18"/>
              </w:rPr>
            </w:pPr>
            <w:r>
              <w:rPr>
                <w:sz w:val="18"/>
              </w:rPr>
              <w:t>1.45</w:t>
            </w:r>
          </w:p>
        </w:tc>
        <w:tc>
          <w:tcPr>
            <w:tcW w:w="778" w:type="dxa"/>
            <w:tcBorders/>
          </w:tcPr>
          <w:p>
            <w:pPr>
              <w:pStyle w:val="Normal"/>
              <w:jc w:val="center"/>
              <w:rPr>
                <w:sz w:val="18"/>
              </w:rPr>
            </w:pPr>
            <w:r>
              <w:rPr>
                <w:sz w:val="18"/>
              </w:rPr>
              <w:t>21.3</w:t>
            </w:r>
          </w:p>
        </w:tc>
        <w:tc>
          <w:tcPr>
            <w:tcW w:w="807" w:type="dxa"/>
            <w:tcBorders/>
          </w:tcPr>
          <w:p>
            <w:pPr>
              <w:pStyle w:val="Normal"/>
              <w:jc w:val="center"/>
              <w:rPr>
                <w:sz w:val="18"/>
              </w:rPr>
            </w:pPr>
            <w:r>
              <w:rPr>
                <w:sz w:val="18"/>
              </w:rPr>
              <w:t>18.9</w:t>
            </w:r>
          </w:p>
        </w:tc>
        <w:tc>
          <w:tcPr>
            <w:tcW w:w="702" w:type="dxa"/>
            <w:tcBorders/>
          </w:tcPr>
          <w:p>
            <w:pPr>
              <w:pStyle w:val="Normal"/>
              <w:jc w:val="center"/>
              <w:rPr>
                <w:sz w:val="18"/>
              </w:rPr>
            </w:pPr>
            <w:r>
              <w:rPr>
                <w:sz w:val="18"/>
              </w:rPr>
              <w:t>1.75</w:t>
            </w:r>
          </w:p>
        </w:tc>
        <w:tc>
          <w:tcPr>
            <w:tcW w:w="760" w:type="dxa"/>
            <w:tcBorders/>
          </w:tcPr>
          <w:p>
            <w:pPr>
              <w:pStyle w:val="Normal"/>
              <w:jc w:val="center"/>
              <w:rPr>
                <w:sz w:val="18"/>
              </w:rPr>
            </w:pPr>
            <w:r>
              <w:rPr>
                <w:sz w:val="18"/>
              </w:rPr>
              <w:t>-0.78</w:t>
            </w:r>
          </w:p>
        </w:tc>
        <w:tc>
          <w:tcPr>
            <w:tcW w:w="744" w:type="dxa"/>
            <w:tcBorders/>
          </w:tcPr>
          <w:p>
            <w:pPr>
              <w:pStyle w:val="Normal"/>
              <w:jc w:val="center"/>
              <w:rPr>
                <w:sz w:val="18"/>
              </w:rPr>
            </w:pPr>
            <w:r>
              <w:rPr>
                <w:sz w:val="18"/>
              </w:rPr>
              <w:t>1.5</w:t>
            </w:r>
          </w:p>
        </w:tc>
        <w:tc>
          <w:tcPr>
            <w:tcW w:w="764" w:type="dxa"/>
            <w:gridSpan w:val="2"/>
            <w:tcBorders/>
          </w:tcPr>
          <w:p>
            <w:pPr>
              <w:pStyle w:val="Normal"/>
              <w:jc w:val="center"/>
              <w:rPr>
                <w:sz w:val="18"/>
              </w:rPr>
            </w:pPr>
            <w:r>
              <w:rPr>
                <w:sz w:val="18"/>
              </w:rPr>
              <w:t>-9.0</w:t>
            </w:r>
          </w:p>
        </w:tc>
        <w:tc>
          <w:tcPr>
            <w:tcW w:w="851" w:type="dxa"/>
            <w:tcBorders>
              <w:end w:val="single" w:sz="12" w:space="0" w:color="000000"/>
            </w:tcBorders>
          </w:tcPr>
          <w:p>
            <w:pPr>
              <w:pStyle w:val="Normal"/>
              <w:jc w:val="center"/>
              <w:rPr>
                <w:sz w:val="18"/>
              </w:rPr>
            </w:pPr>
            <w:r>
              <w:rPr>
                <w:sz w:val="18"/>
              </w:rPr>
              <w:t>14.4</w:t>
            </w:r>
          </w:p>
        </w:tc>
      </w:tr>
      <w:tr>
        <w:trPr/>
        <w:tc>
          <w:tcPr>
            <w:tcW w:w="680" w:type="dxa"/>
            <w:tcBorders>
              <w:start w:val="single" w:sz="12"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II</w:t>
            </w:r>
          </w:p>
        </w:tc>
        <w:tc>
          <w:tcPr>
            <w:tcW w:w="790" w:type="dxa"/>
            <w:tcBorders/>
          </w:tcPr>
          <w:p>
            <w:pPr>
              <w:pStyle w:val="Normal"/>
              <w:jc w:val="center"/>
              <w:rPr>
                <w:sz w:val="18"/>
              </w:rPr>
            </w:pPr>
            <w:r>
              <w:rPr>
                <w:sz w:val="18"/>
              </w:rPr>
              <w:t>0.52</w:t>
            </w:r>
          </w:p>
        </w:tc>
        <w:tc>
          <w:tcPr>
            <w:tcW w:w="769" w:type="dxa"/>
            <w:tcBorders/>
          </w:tcPr>
          <w:p>
            <w:pPr>
              <w:pStyle w:val="Normal"/>
              <w:jc w:val="center"/>
              <w:rPr>
                <w:sz w:val="18"/>
              </w:rPr>
            </w:pPr>
            <w:r>
              <w:rPr>
                <w:sz w:val="18"/>
              </w:rPr>
              <w:t>7.5</w:t>
            </w:r>
          </w:p>
        </w:tc>
        <w:tc>
          <w:tcPr>
            <w:tcW w:w="992" w:type="dxa"/>
            <w:tcBorders/>
          </w:tcPr>
          <w:p>
            <w:pPr>
              <w:pStyle w:val="Normal"/>
              <w:jc w:val="center"/>
              <w:rPr>
                <w:sz w:val="18"/>
              </w:rPr>
            </w:pPr>
            <w:r>
              <w:rPr>
                <w:sz w:val="18"/>
              </w:rPr>
              <w:t>6.4</w:t>
            </w:r>
          </w:p>
        </w:tc>
        <w:tc>
          <w:tcPr>
            <w:tcW w:w="825" w:type="dxa"/>
            <w:tcBorders/>
          </w:tcPr>
          <w:p>
            <w:pPr>
              <w:pStyle w:val="Normal"/>
              <w:jc w:val="center"/>
              <w:rPr>
                <w:sz w:val="18"/>
              </w:rPr>
            </w:pPr>
            <w:r>
              <w:rPr>
                <w:sz w:val="18"/>
              </w:rPr>
              <w:t>1.39</w:t>
            </w:r>
          </w:p>
        </w:tc>
        <w:tc>
          <w:tcPr>
            <w:tcW w:w="778" w:type="dxa"/>
            <w:tcBorders/>
          </w:tcPr>
          <w:p>
            <w:pPr>
              <w:pStyle w:val="Normal"/>
              <w:jc w:val="center"/>
              <w:rPr>
                <w:sz w:val="18"/>
              </w:rPr>
            </w:pPr>
            <w:r>
              <w:rPr>
                <w:sz w:val="18"/>
              </w:rPr>
              <w:t>19.1</w:t>
            </w:r>
          </w:p>
        </w:tc>
        <w:tc>
          <w:tcPr>
            <w:tcW w:w="807" w:type="dxa"/>
            <w:tcBorders/>
          </w:tcPr>
          <w:p>
            <w:pPr>
              <w:pStyle w:val="Normal"/>
              <w:jc w:val="center"/>
              <w:rPr>
                <w:sz w:val="18"/>
              </w:rPr>
            </w:pPr>
            <w:r>
              <w:rPr>
                <w:sz w:val="18"/>
              </w:rPr>
              <w:t>18.0</w:t>
            </w:r>
          </w:p>
        </w:tc>
        <w:tc>
          <w:tcPr>
            <w:tcW w:w="702" w:type="dxa"/>
            <w:tcBorders/>
          </w:tcPr>
          <w:p>
            <w:pPr>
              <w:pStyle w:val="Normal"/>
              <w:jc w:val="center"/>
              <w:rPr>
                <w:sz w:val="18"/>
              </w:rPr>
            </w:pPr>
            <w:r>
              <w:rPr>
                <w:sz w:val="18"/>
              </w:rPr>
              <w:t>1.75</w:t>
            </w:r>
          </w:p>
        </w:tc>
        <w:tc>
          <w:tcPr>
            <w:tcW w:w="760" w:type="dxa"/>
            <w:tcBorders/>
          </w:tcPr>
          <w:p>
            <w:pPr>
              <w:pStyle w:val="Normal"/>
              <w:jc w:val="center"/>
              <w:rPr>
                <w:sz w:val="18"/>
              </w:rPr>
            </w:pPr>
            <w:r>
              <w:rPr>
                <w:sz w:val="18"/>
              </w:rPr>
              <w:t>0.00</w:t>
            </w:r>
          </w:p>
        </w:tc>
        <w:tc>
          <w:tcPr>
            <w:tcW w:w="744" w:type="dxa"/>
            <w:tcBorders/>
          </w:tcPr>
          <w:p>
            <w:pPr>
              <w:pStyle w:val="Normal"/>
              <w:jc w:val="center"/>
              <w:rPr>
                <w:sz w:val="18"/>
              </w:rPr>
            </w:pPr>
            <w:r>
              <w:rPr>
                <w:sz w:val="18"/>
              </w:rPr>
              <w:t>-1.1</w:t>
            </w:r>
          </w:p>
        </w:tc>
        <w:tc>
          <w:tcPr>
            <w:tcW w:w="764" w:type="dxa"/>
            <w:gridSpan w:val="2"/>
            <w:tcBorders/>
          </w:tcPr>
          <w:p>
            <w:pPr>
              <w:pStyle w:val="Normal"/>
              <w:jc w:val="center"/>
              <w:rPr>
                <w:sz w:val="18"/>
              </w:rPr>
            </w:pPr>
            <w:r>
              <w:rPr>
                <w:sz w:val="18"/>
              </w:rPr>
              <w:t>0.8</w:t>
            </w:r>
          </w:p>
        </w:tc>
        <w:tc>
          <w:tcPr>
            <w:tcW w:w="851" w:type="dxa"/>
            <w:tcBorders>
              <w:end w:val="single" w:sz="12" w:space="0" w:color="000000"/>
            </w:tcBorders>
          </w:tcPr>
          <w:p>
            <w:pPr>
              <w:pStyle w:val="Normal"/>
              <w:jc w:val="center"/>
              <w:rPr>
                <w:sz w:val="18"/>
              </w:rPr>
            </w:pPr>
            <w:r>
              <w:rPr>
                <w:sz w:val="18"/>
              </w:rPr>
              <w:t>10.9</w:t>
            </w:r>
          </w:p>
        </w:tc>
      </w:tr>
      <w:tr>
        <w:trPr/>
        <w:tc>
          <w:tcPr>
            <w:tcW w:w="680" w:type="dxa"/>
            <w:tcBorders>
              <w:start w:val="single" w:sz="12"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III</w:t>
            </w:r>
          </w:p>
        </w:tc>
        <w:tc>
          <w:tcPr>
            <w:tcW w:w="790" w:type="dxa"/>
            <w:tcBorders/>
          </w:tcPr>
          <w:p>
            <w:pPr>
              <w:pStyle w:val="Normal"/>
              <w:jc w:val="center"/>
              <w:rPr>
                <w:sz w:val="18"/>
              </w:rPr>
            </w:pPr>
            <w:r>
              <w:rPr>
                <w:sz w:val="18"/>
              </w:rPr>
              <w:t>0.62</w:t>
            </w:r>
          </w:p>
        </w:tc>
        <w:tc>
          <w:tcPr>
            <w:tcW w:w="769" w:type="dxa"/>
            <w:tcBorders/>
          </w:tcPr>
          <w:p>
            <w:pPr>
              <w:pStyle w:val="Normal"/>
              <w:jc w:val="center"/>
              <w:rPr>
                <w:sz w:val="18"/>
              </w:rPr>
            </w:pPr>
            <w:r>
              <w:rPr>
                <w:sz w:val="18"/>
              </w:rPr>
              <w:t>7.3</w:t>
            </w:r>
          </w:p>
        </w:tc>
        <w:tc>
          <w:tcPr>
            <w:tcW w:w="992" w:type="dxa"/>
            <w:tcBorders/>
          </w:tcPr>
          <w:p>
            <w:pPr>
              <w:pStyle w:val="Normal"/>
              <w:jc w:val="center"/>
              <w:rPr>
                <w:sz w:val="18"/>
              </w:rPr>
            </w:pPr>
            <w:r>
              <w:rPr>
                <w:sz w:val="18"/>
              </w:rPr>
              <w:t>7.7</w:t>
            </w:r>
          </w:p>
        </w:tc>
        <w:tc>
          <w:tcPr>
            <w:tcW w:w="825" w:type="dxa"/>
            <w:tcBorders/>
          </w:tcPr>
          <w:p>
            <w:pPr>
              <w:pStyle w:val="Normal"/>
              <w:jc w:val="center"/>
              <w:rPr>
                <w:sz w:val="18"/>
              </w:rPr>
            </w:pPr>
            <w:r>
              <w:rPr>
                <w:sz w:val="18"/>
              </w:rPr>
              <w:t>1.36</w:t>
            </w:r>
          </w:p>
        </w:tc>
        <w:tc>
          <w:tcPr>
            <w:tcW w:w="778" w:type="dxa"/>
            <w:tcBorders/>
          </w:tcPr>
          <w:p>
            <w:pPr>
              <w:pStyle w:val="Normal"/>
              <w:jc w:val="center"/>
              <w:rPr>
                <w:sz w:val="18"/>
              </w:rPr>
            </w:pPr>
            <w:r>
              <w:rPr>
                <w:sz w:val="18"/>
              </w:rPr>
              <w:t>18.4</w:t>
            </w:r>
          </w:p>
        </w:tc>
        <w:tc>
          <w:tcPr>
            <w:tcW w:w="807" w:type="dxa"/>
            <w:tcBorders/>
          </w:tcPr>
          <w:p>
            <w:pPr>
              <w:pStyle w:val="Normal"/>
              <w:rPr>
                <w:sz w:val="18"/>
              </w:rPr>
            </w:pPr>
            <w:r>
              <w:rPr>
                <w:sz w:val="18"/>
              </w:rPr>
              <w:t xml:space="preserve">   </w:t>
            </w:r>
            <w:r>
              <w:rPr>
                <w:sz w:val="18"/>
              </w:rPr>
              <w:t>17.7</w:t>
            </w:r>
          </w:p>
        </w:tc>
        <w:tc>
          <w:tcPr>
            <w:tcW w:w="702" w:type="dxa"/>
            <w:tcBorders/>
          </w:tcPr>
          <w:p>
            <w:pPr>
              <w:pStyle w:val="Normal"/>
              <w:jc w:val="center"/>
              <w:rPr>
                <w:sz w:val="18"/>
              </w:rPr>
            </w:pPr>
            <w:r>
              <w:rPr>
                <w:sz w:val="18"/>
              </w:rPr>
              <w:t>1.75</w:t>
            </w:r>
          </w:p>
        </w:tc>
        <w:tc>
          <w:tcPr>
            <w:tcW w:w="760" w:type="dxa"/>
            <w:tcBorders/>
          </w:tcPr>
          <w:p>
            <w:pPr>
              <w:pStyle w:val="Normal"/>
              <w:jc w:val="center"/>
              <w:rPr>
                <w:sz w:val="18"/>
              </w:rPr>
            </w:pPr>
            <w:r>
              <w:rPr>
                <w:sz w:val="18"/>
              </w:rPr>
              <w:t>0.00</w:t>
            </w:r>
          </w:p>
        </w:tc>
        <w:tc>
          <w:tcPr>
            <w:tcW w:w="744" w:type="dxa"/>
            <w:tcBorders/>
          </w:tcPr>
          <w:p>
            <w:pPr>
              <w:pStyle w:val="Normal"/>
              <w:jc w:val="center"/>
              <w:rPr>
                <w:sz w:val="18"/>
              </w:rPr>
            </w:pPr>
            <w:r>
              <w:rPr>
                <w:sz w:val="18"/>
              </w:rPr>
              <w:t>-8.9</w:t>
            </w:r>
          </w:p>
        </w:tc>
        <w:tc>
          <w:tcPr>
            <w:tcW w:w="764" w:type="dxa"/>
            <w:gridSpan w:val="2"/>
            <w:tcBorders/>
          </w:tcPr>
          <w:p>
            <w:pPr>
              <w:pStyle w:val="Normal"/>
              <w:jc w:val="center"/>
              <w:rPr>
                <w:sz w:val="18"/>
              </w:rPr>
            </w:pPr>
            <w:r>
              <w:rPr>
                <w:sz w:val="18"/>
              </w:rPr>
              <w:t>0.0</w:t>
            </w:r>
          </w:p>
        </w:tc>
        <w:tc>
          <w:tcPr>
            <w:tcW w:w="851" w:type="dxa"/>
            <w:tcBorders>
              <w:end w:val="single" w:sz="12" w:space="0" w:color="000000"/>
            </w:tcBorders>
          </w:tcPr>
          <w:p>
            <w:pPr>
              <w:pStyle w:val="Normal"/>
              <w:jc w:val="center"/>
              <w:rPr>
                <w:sz w:val="18"/>
              </w:rPr>
            </w:pPr>
            <w:r>
              <w:rPr>
                <w:sz w:val="18"/>
              </w:rPr>
              <w:t>9.3</w:t>
            </w:r>
          </w:p>
        </w:tc>
      </w:tr>
      <w:tr>
        <w:trPr/>
        <w:tc>
          <w:tcPr>
            <w:tcW w:w="680" w:type="dxa"/>
            <w:tcBorders>
              <w:start w:val="single" w:sz="12" w:space="0" w:color="000000"/>
              <w:bottom w:val="single" w:sz="6" w:space="0" w:color="000000"/>
            </w:tcBorders>
          </w:tcPr>
          <w:p>
            <w:pPr>
              <w:pStyle w:val="Normal"/>
              <w:snapToGrid w:val="false"/>
              <w:jc w:val="center"/>
              <w:rPr>
                <w:b/>
                <w:sz w:val="16"/>
              </w:rPr>
            </w:pPr>
            <w:r>
              <w:rPr>
                <w:b/>
                <w:sz w:val="16"/>
              </w:rPr>
            </w:r>
          </w:p>
        </w:tc>
        <w:tc>
          <w:tcPr>
            <w:tcW w:w="426" w:type="dxa"/>
            <w:tcBorders>
              <w:start w:val="single" w:sz="6" w:space="0" w:color="000000"/>
              <w:end w:val="single" w:sz="6" w:space="0" w:color="000000"/>
            </w:tcBorders>
          </w:tcPr>
          <w:p>
            <w:pPr>
              <w:pStyle w:val="Normal"/>
              <w:jc w:val="center"/>
              <w:rPr>
                <w:sz w:val="14"/>
              </w:rPr>
            </w:pPr>
            <w:r>
              <w:rPr>
                <w:sz w:val="14"/>
              </w:rPr>
              <w:t>IV</w:t>
            </w:r>
          </w:p>
        </w:tc>
        <w:tc>
          <w:tcPr>
            <w:tcW w:w="790" w:type="dxa"/>
            <w:tcBorders>
              <w:bottom w:val="single" w:sz="6" w:space="0" w:color="000000"/>
            </w:tcBorders>
          </w:tcPr>
          <w:p>
            <w:pPr>
              <w:pStyle w:val="Normal"/>
              <w:jc w:val="center"/>
              <w:rPr>
                <w:sz w:val="18"/>
              </w:rPr>
            </w:pPr>
            <w:bookmarkStart w:id="0" w:name="B_875188397"/>
            <w:bookmarkEnd w:id="0"/>
            <w:r>
              <w:rPr>
                <w:sz w:val="18"/>
              </w:rPr>
              <w:t>0.52</w:t>
            </w:r>
          </w:p>
        </w:tc>
        <w:tc>
          <w:tcPr>
            <w:tcW w:w="769" w:type="dxa"/>
            <w:tcBorders>
              <w:bottom w:val="single" w:sz="6" w:space="0" w:color="000000"/>
            </w:tcBorders>
          </w:tcPr>
          <w:p>
            <w:pPr>
              <w:pStyle w:val="Normal"/>
              <w:jc w:val="center"/>
              <w:rPr>
                <w:sz w:val="18"/>
              </w:rPr>
            </w:pPr>
            <w:r>
              <w:rPr>
                <w:sz w:val="18"/>
              </w:rPr>
              <w:t>6.1</w:t>
            </w:r>
          </w:p>
        </w:tc>
        <w:tc>
          <w:tcPr>
            <w:tcW w:w="992" w:type="dxa"/>
            <w:tcBorders>
              <w:bottom w:val="single" w:sz="6" w:space="0" w:color="000000"/>
            </w:tcBorders>
          </w:tcPr>
          <w:p>
            <w:pPr>
              <w:pStyle w:val="Normal"/>
              <w:jc w:val="center"/>
              <w:rPr>
                <w:sz w:val="18"/>
              </w:rPr>
            </w:pPr>
            <w:r>
              <w:rPr>
                <w:sz w:val="18"/>
              </w:rPr>
              <w:t>6.4</w:t>
            </w:r>
          </w:p>
        </w:tc>
        <w:tc>
          <w:tcPr>
            <w:tcW w:w="825" w:type="dxa"/>
            <w:tcBorders>
              <w:bottom w:val="single" w:sz="6" w:space="0" w:color="000000"/>
            </w:tcBorders>
          </w:tcPr>
          <w:p>
            <w:pPr>
              <w:pStyle w:val="Normal"/>
              <w:jc w:val="center"/>
              <w:rPr>
                <w:sz w:val="18"/>
              </w:rPr>
            </w:pPr>
            <w:r>
              <w:rPr>
                <w:sz w:val="18"/>
              </w:rPr>
              <w:t>1.25</w:t>
            </w:r>
          </w:p>
        </w:tc>
        <w:tc>
          <w:tcPr>
            <w:tcW w:w="778" w:type="dxa"/>
            <w:tcBorders>
              <w:bottom w:val="single" w:sz="6" w:space="0" w:color="000000"/>
            </w:tcBorders>
          </w:tcPr>
          <w:p>
            <w:pPr>
              <w:pStyle w:val="Normal"/>
              <w:jc w:val="center"/>
              <w:rPr>
                <w:sz w:val="18"/>
              </w:rPr>
            </w:pPr>
            <w:r>
              <w:rPr>
                <w:sz w:val="18"/>
              </w:rPr>
              <w:t>17.7</w:t>
            </w:r>
          </w:p>
        </w:tc>
        <w:tc>
          <w:tcPr>
            <w:tcW w:w="807" w:type="dxa"/>
            <w:tcBorders>
              <w:bottom w:val="single" w:sz="6" w:space="0" w:color="000000"/>
            </w:tcBorders>
          </w:tcPr>
          <w:p>
            <w:pPr>
              <w:pStyle w:val="Normal"/>
              <w:jc w:val="center"/>
              <w:rPr>
                <w:sz w:val="18"/>
              </w:rPr>
            </w:pPr>
            <w:r>
              <w:rPr>
                <w:sz w:val="18"/>
              </w:rPr>
              <w:t>16.1</w:t>
            </w:r>
          </w:p>
        </w:tc>
        <w:tc>
          <w:tcPr>
            <w:tcW w:w="702" w:type="dxa"/>
            <w:tcBorders>
              <w:bottom w:val="single" w:sz="6" w:space="0" w:color="000000"/>
            </w:tcBorders>
          </w:tcPr>
          <w:p>
            <w:pPr>
              <w:pStyle w:val="Normal"/>
              <w:jc w:val="center"/>
              <w:rPr>
                <w:sz w:val="18"/>
              </w:rPr>
            </w:pPr>
            <w:r>
              <w:rPr>
                <w:sz w:val="18"/>
              </w:rPr>
              <w:t>1.80</w:t>
            </w:r>
          </w:p>
        </w:tc>
        <w:tc>
          <w:tcPr>
            <w:tcW w:w="760" w:type="dxa"/>
            <w:tcBorders>
              <w:bottom w:val="single" w:sz="6" w:space="0" w:color="000000"/>
            </w:tcBorders>
          </w:tcPr>
          <w:p>
            <w:pPr>
              <w:pStyle w:val="Normal"/>
              <w:jc w:val="center"/>
              <w:rPr>
                <w:sz w:val="18"/>
              </w:rPr>
            </w:pPr>
            <w:r>
              <w:rPr>
                <w:sz w:val="18"/>
              </w:rPr>
              <w:t>0.95</w:t>
            </w:r>
          </w:p>
        </w:tc>
        <w:tc>
          <w:tcPr>
            <w:tcW w:w="744" w:type="dxa"/>
            <w:tcBorders>
              <w:bottom w:val="single" w:sz="6" w:space="0" w:color="000000"/>
            </w:tcBorders>
          </w:tcPr>
          <w:p>
            <w:pPr>
              <w:pStyle w:val="Normal"/>
              <w:jc w:val="center"/>
              <w:rPr>
                <w:sz w:val="18"/>
              </w:rPr>
            </w:pPr>
            <w:r>
              <w:rPr>
                <w:sz w:val="18"/>
              </w:rPr>
              <w:t>0.7</w:t>
            </w:r>
          </w:p>
        </w:tc>
        <w:tc>
          <w:tcPr>
            <w:tcW w:w="764" w:type="dxa"/>
            <w:gridSpan w:val="2"/>
            <w:tcBorders>
              <w:bottom w:val="single" w:sz="6" w:space="0" w:color="000000"/>
            </w:tcBorders>
          </w:tcPr>
          <w:p>
            <w:pPr>
              <w:pStyle w:val="Normal"/>
              <w:jc w:val="center"/>
              <w:rPr>
                <w:sz w:val="18"/>
              </w:rPr>
            </w:pPr>
            <w:r>
              <w:rPr>
                <w:sz w:val="18"/>
              </w:rPr>
              <w:t>11.9</w:t>
            </w:r>
          </w:p>
        </w:tc>
        <w:tc>
          <w:tcPr>
            <w:tcW w:w="851" w:type="dxa"/>
            <w:tcBorders>
              <w:bottom w:val="single" w:sz="6" w:space="0" w:color="000000"/>
              <w:end w:val="single" w:sz="12" w:space="0" w:color="000000"/>
            </w:tcBorders>
          </w:tcPr>
          <w:p>
            <w:pPr>
              <w:pStyle w:val="Normal"/>
              <w:jc w:val="center"/>
              <w:rPr>
                <w:sz w:val="18"/>
              </w:rPr>
            </w:pPr>
            <w:r>
              <w:rPr>
                <w:sz w:val="18"/>
              </w:rPr>
              <w:t>9.1</w:t>
            </w:r>
          </w:p>
        </w:tc>
      </w:tr>
      <w:tr>
        <w:trPr/>
        <w:tc>
          <w:tcPr>
            <w:tcW w:w="9888" w:type="dxa"/>
            <w:gridSpan w:val="14"/>
            <w:tcBorders>
              <w:top w:val="single" w:sz="6" w:space="0" w:color="000000"/>
              <w:start w:val="single" w:sz="12" w:space="0" w:color="000000"/>
              <w:bottom w:val="single" w:sz="12" w:space="0" w:color="000000"/>
              <w:end w:val="single" w:sz="12" w:space="0" w:color="000000"/>
            </w:tcBorders>
          </w:tcPr>
          <w:p>
            <w:pPr>
              <w:pStyle w:val="Normal"/>
              <w:rPr>
                <w:b/>
                <w:sz w:val="16"/>
              </w:rPr>
            </w:pPr>
            <w:r>
              <w:rPr>
                <w:b/>
                <w:sz w:val="16"/>
              </w:rPr>
              <w:t>Juro Real = Juro Nominal / Inflação</w:t>
            </w:r>
          </w:p>
        </w:tc>
      </w:tr>
    </w:tbl>
    <w:p>
      <w:pPr>
        <w:pStyle w:val="Normal"/>
        <w:rPr/>
      </w:pPr>
      <w:r>
        <w:rPr/>
      </w:r>
    </w:p>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6"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t>Este boletim foi elaborado com base em dados disponíveis até 11/04/2000 e tem caráter apenas informativo. O BankBoston não se responsabiliza pelo uso que venha a ser feito do mesmo.</w:t>
    </w:r>
  </w:p>
  <w:p>
    <w:pPr>
      <w:pStyle w:val="Footer"/>
      <w:rPr>
        <w:i/>
        <w:i/>
        <w:sz w:val="16"/>
      </w:rPr>
    </w:pPr>
    <w:r>
      <w:rPr>
        <w:i/>
        <w:sz w:val="16"/>
      </w:rPr>
      <w:t>Equipe responsável: José Antonio Pena Garcia, Ricardo Cyrillo Amorim, Marcelo Petersen Cypriano, Fernando H. Barbosa</w:t>
    </w:r>
  </w:p>
  <w:p>
    <w:pPr>
      <w:pStyle w:val="Footer"/>
      <w:rPr>
        <w:i/>
        <w:i/>
        <w:sz w:val="16"/>
      </w:rPr>
    </w:pPr>
    <w:r>
      <w:rPr>
        <w:i/>
        <w:sz w:val="16"/>
      </w:rPr>
      <w:t>Consultor: Gilson Schwartz</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159510" cy="499745"/>
          <wp:effectExtent l="0" t="0" r="0" b="0"/>
          <wp:docPr id="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title=""/>
                  <pic:cNvPicPr>
                    <a:picLocks noChangeAspect="1" noChangeArrowheads="1"/>
                  </pic:cNvPicPr>
                </pic:nvPicPr>
                <pic:blipFill>
                  <a:blip r:embed="rId1"/>
                  <a:srcRect l="-20" t="-46" r="-20" b="-46"/>
                  <a:stretch>
                    <a:fillRect/>
                  </a:stretch>
                </pic:blipFill>
                <pic:spPr bwMode="auto">
                  <a:xfrm>
                    <a:off x="0" y="0"/>
                    <a:ext cx="1159510" cy="499745"/>
                  </a:xfrm>
                  <a:prstGeom prst="rect">
                    <a:avLst/>
                  </a:prstGeom>
                  <a:noFill/>
                </pic:spPr>
              </pic:pic>
            </a:graphicData>
          </a:graphic>
        </wp:inline>
      </w:drawing>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159510" cy="49974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rcRect l="-20" t="-46" r="-20" b="-46"/>
                  <a:stretch>
                    <a:fillRect/>
                  </a:stretch>
                </pic:blipFill>
                <pic:spPr bwMode="auto">
                  <a:xfrm>
                    <a:off x="0" y="0"/>
                    <a:ext cx="1159510" cy="499745"/>
                  </a:xfrm>
                  <a:prstGeom prst="rect">
                    <a:avLst/>
                  </a:prstGeom>
                  <a:noFill/>
                </pic:spPr>
              </pic:pic>
            </a:graphicData>
          </a:graphic>
        </wp:inline>
      </w:drawing>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Bookman Old Style" w:hAnsi="Bookman Old Style" w:cs="Bookman Old Style"/>
      <w:b/>
      <w:color w:val="FF0000"/>
    </w:rPr>
  </w:style>
  <w:style w:type="paragraph" w:styleId="Heading3">
    <w:name w:val="heading 3"/>
    <w:basedOn w:val="Normal"/>
    <w:next w:val="Normal"/>
    <w:qFormat/>
    <w:pPr>
      <w:keepNext w:val="true"/>
      <w:numPr>
        <w:ilvl w:val="2"/>
        <w:numId w:val="1"/>
      </w:numPr>
      <w:outlineLvl w:val="2"/>
    </w:pPr>
    <w:rPr>
      <w:b/>
      <w:sz w:val="14"/>
      <w:lang w:eastAsia="pt-BR"/>
    </w:rPr>
  </w:style>
  <w:style w:type="paragraph" w:styleId="Heading5">
    <w:name w:val="heading 5"/>
    <w:basedOn w:val="Normal"/>
    <w:next w:val="Normal"/>
    <w:qFormat/>
    <w:pPr>
      <w:keepNext w:val="true"/>
      <w:numPr>
        <w:ilvl w:val="4"/>
        <w:numId w:val="1"/>
      </w:numPr>
      <w:jc w:val="center"/>
      <w:outlineLvl w:val="4"/>
    </w:pPr>
    <w:rPr>
      <w:rFonts w:ascii="Bookman Old Style" w:hAnsi="Bookman Old Style" w:cs="Bookman Old Style"/>
      <w:b/>
      <w:sz w:val="22"/>
    </w:rPr>
  </w:style>
  <w:style w:type="paragraph" w:styleId="Heading6">
    <w:name w:val="heading 6"/>
    <w:basedOn w:val="Normal"/>
    <w:next w:val="Normal"/>
    <w:qFormat/>
    <w:pPr>
      <w:keepNext w:val="true"/>
      <w:numPr>
        <w:ilvl w:val="5"/>
        <w:numId w:val="1"/>
      </w:numPr>
      <w:jc w:val="center"/>
      <w:outlineLvl w:val="5"/>
    </w:pPr>
    <w:rPr>
      <w:rFonts w:ascii="Bookman Old Style" w:hAnsi="Bookman Old Style" w:cs="Bookman Old Style"/>
      <w:b/>
      <w:sz w:val="16"/>
    </w:rPr>
  </w:style>
  <w:style w:type="paragraph" w:styleId="Heading7">
    <w:name w:val="heading 7"/>
    <w:basedOn w:val="Normal"/>
    <w:next w:val="Normal"/>
    <w:qFormat/>
    <w:pPr>
      <w:keepNext w:val="true"/>
      <w:numPr>
        <w:ilvl w:val="6"/>
        <w:numId w:val="1"/>
      </w:numPr>
      <w:outlineLvl w:val="6"/>
    </w:pPr>
    <w:rPr>
      <w:rFonts w:ascii="Bookman Old Style" w:hAnsi="Bookman Old Style" w:cs="Bookman Old Style"/>
      <w:b/>
      <w:sz w:val="1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Fontepargpadro">
    <w:name w:val="Fonte parág. padrão"/>
    <w:qFormat/>
    <w:rPr/>
  </w:style>
  <w:style w:type="character" w:styleId="PageNumber">
    <w:name w:val="page number"/>
    <w:basedOn w:val="Fontepargpadro"/>
    <w:rPr/>
  </w:style>
  <w:style w:type="paragraph" w:styleId="Heading">
    <w:name w:val="Heading"/>
    <w:basedOn w:val="Normal"/>
    <w:next w:val="BodyText"/>
    <w:qFormat/>
    <w:pPr>
      <w:jc w:val="center"/>
    </w:pPr>
    <w:rPr>
      <w:rFonts w:ascii="Bookman Old Style" w:hAnsi="Bookman Old Style" w:cs="Bookman Old Style"/>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419" w:leader="none"/>
        <w:tab w:val="right" w:pos="8838" w:leader="none"/>
      </w:tabs>
    </w:pPr>
    <w:rPr/>
  </w:style>
  <w:style w:type="paragraph" w:styleId="Corpodetexto2">
    <w:name w:val="Corpo de texto 2"/>
    <w:basedOn w:val="Normal"/>
    <w:qFormat/>
    <w:pPr/>
    <w:rPr>
      <w:color w:val="FF0000"/>
    </w:rPr>
  </w:style>
  <w:style w:type="paragraph" w:styleId="Header">
    <w:name w:val="header"/>
    <w:basedOn w:val="Normal"/>
    <w:pPr>
      <w:tabs>
        <w:tab w:val="clear" w:pos="720"/>
        <w:tab w:val="center" w:pos="4419" w:leader="none"/>
        <w:tab w:val="right" w:pos="8838" w:leader="none"/>
      </w:tabs>
    </w:pPr>
    <w:rPr/>
  </w:style>
  <w:style w:type="paragraph" w:styleId="Textosimples">
    <w:name w:val="Texto simples"/>
    <w:basedOn w:val="Normal"/>
    <w:qFormat/>
    <w:pPr>
      <w:overflowPunct w:val="false"/>
      <w:autoSpaceDE w:val="false"/>
      <w:textAlignment w:val="baseline"/>
    </w:pPr>
    <w:rPr>
      <w:rFonts w:ascii="Courier New" w:hAnsi="Courier New" w:cs="Courier New"/>
    </w:rPr>
  </w:style>
  <w:style w:type="paragraph" w:styleId="Subtitle">
    <w:name w:val="Subtitle"/>
    <w:basedOn w:val="Normal"/>
    <w:next w:val="BodyText"/>
    <w:qFormat/>
    <w:pPr>
      <w:jc w:val="both"/>
    </w:pPr>
    <w:rPr>
      <w:rFonts w:ascii="Bookman Old Style" w:hAnsi="Bookman Old Style" w:cs="Bookman Old Style"/>
      <w:b/>
    </w:rPr>
  </w:style>
  <w:style w:type="paragraph" w:styleId="Corpodetexto3">
    <w:name w:val="Corpo de texto 3"/>
    <w:basedOn w:val="Normal"/>
    <w:qFormat/>
    <w:pPr>
      <w:jc w:val="both"/>
    </w:pPr>
    <w:rPr>
      <w:rFonts w:ascii="Bookman Old Style" w:hAnsi="Bookman Old Style" w:cs="Bookman Old Style"/>
      <w:color w:val="FF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wmf"/>
</Relationships>
</file>

<file path=word/_rels/header2.xml.rels><?xml version="1.0" encoding="UTF-8"?>
<Relationships xmlns="http://schemas.openxmlformats.org/package/2006/relationships"><Relationship Id="rId1"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2000-04-14T15:16:00Z</dcterms:created>
  <dc:creator>Folha de S.Paulo</dc:creator>
  <dc:description/>
  <dc:language>en-CA</dc:language>
  <cp:lastModifiedBy>BANKBOSTON</cp:lastModifiedBy>
  <cp:lastPrinted>2000-04-14T15:24:00Z</cp:lastPrinted>
  <dcterms:modified xsi:type="dcterms:W3CDTF">2000-04-14T16:00:00Z</dcterms:modified>
  <cp:revision>8</cp:revision>
  <dc:subject/>
  <dc:title>Balança comercial: perspectivas do ajuste nas importações</dc:title>
</cp:coreProperties>
</file>