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Bookman Old Style" w:hAnsi="Bookman Old Style" w:cs="Bookman Old Style"/>
          <w:sz w:val="24"/>
        </w:rPr>
      </w:pPr>
      <w:r>
        <w:rPr>
          <w:rFonts w:cs="Bookman Old Style" w:ascii="Bookman Old Style" w:hAnsi="Bookman Old Style"/>
          <w:sz w:val="24"/>
        </w:rPr>
        <w:t>BRAZIL TRENDS – APRIL - 2000</w:t>
      </w:r>
    </w:p>
    <w:p>
      <w:pPr>
        <w:pStyle w:val="Heading1"/>
        <w:ind w:hanging="0" w:start="0"/>
        <w:jc w:val="both"/>
        <w:rPr>
          <w:rFonts w:ascii="Bookman Old Style" w:hAnsi="Bookman Old Style" w:cs="Bookman Old Style"/>
          <w:sz w:val="24"/>
        </w:rPr>
      </w:pPr>
      <w:r>
        <w:rPr>
          <w:rFonts w:cs="Bookman Old Style" w:ascii="Bookman Old Style" w:hAnsi="Bookman Old Style"/>
          <w:sz w:val="24"/>
        </w:rPr>
      </w:r>
    </w:p>
    <w:p>
      <w:pPr>
        <w:pStyle w:val="Heading1"/>
        <w:ind w:hanging="0" w:start="0"/>
        <w:jc w:val="both"/>
        <w:rPr>
          <w:rFonts w:ascii="Bookman Old Style" w:hAnsi="Bookman Old Style" w:cs="Bookman Old Style"/>
        </w:rPr>
      </w:pPr>
      <w:r>
        <w:rPr>
          <w:rFonts w:cs="Bookman Old Style" w:ascii="Bookman Old Style" w:hAnsi="Bookman Old Style"/>
        </w:rPr>
        <w:t>Executive Summary</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3"/>
        </w:numPr>
        <w:rPr/>
      </w:pPr>
      <w:r>
        <w:rPr/>
        <w:t xml:space="preserve">If the signs of a recovery in economic activity are confirmed – including domestic consumption, low and stable inflation and a downward trend in the interest rate </w:t>
        <w:noBreakHyphen/>
        <w:t xml:space="preserve"> it is quite reasonable to suppose that the federal government really will reap the benefits of a favorable mood in the economy</w:t>
      </w:r>
    </w:p>
    <w:p>
      <w:pPr>
        <w:pStyle w:val="Normal"/>
        <w:rPr/>
      </w:pPr>
      <w:r>
        <w:rPr/>
      </w:r>
    </w:p>
    <w:p>
      <w:pPr>
        <w:pStyle w:val="Normal"/>
        <w:numPr>
          <w:ilvl w:val="0"/>
          <w:numId w:val="3"/>
        </w:numPr>
        <w:rPr/>
      </w:pPr>
      <w:r>
        <w:rPr/>
        <w:t>Putting the brakes on the expansion of public debt and maintaining a fiscal surplus means that more credit should become available for the private sector to finance consumption and investment, and reduce the proportion of bank assets invested in government securities</w:t>
      </w:r>
    </w:p>
    <w:p>
      <w:pPr>
        <w:pStyle w:val="Normal"/>
        <w:rPr/>
      </w:pPr>
      <w:r>
        <w:rPr/>
      </w:r>
    </w:p>
    <w:p>
      <w:pPr>
        <w:pStyle w:val="Normal"/>
        <w:numPr>
          <w:ilvl w:val="0"/>
          <w:numId w:val="2"/>
        </w:numPr>
        <w:jc w:val="both"/>
        <w:rPr/>
      </w:pPr>
      <w:r>
        <w:rPr/>
        <w:t>This year, we expect a 14% rise in federal collection (including pensions) and higher collection will increase transfers to states and municipalities in around 20% (in view of the expiration of the Fiscal Stabilization Fund, which retained 20% of part of these transfers). Even so it will again be possible to ensure the IMF-agreed surplus. In fact, the good performance of the collection has probably been one of the factors behind the federal government’s postponement of a political drive to vote tax reform</w:t>
      </w:r>
    </w:p>
    <w:p>
      <w:pPr>
        <w:pStyle w:val="Normal"/>
        <w:jc w:val="both"/>
        <w:rPr/>
      </w:pPr>
      <w:r>
        <w:rPr/>
      </w:r>
    </w:p>
    <w:p>
      <w:pPr>
        <w:pStyle w:val="Normal"/>
        <w:numPr>
          <w:ilvl w:val="0"/>
          <w:numId w:val="2"/>
        </w:numPr>
        <w:jc w:val="both"/>
        <w:rPr/>
      </w:pPr>
      <w:r>
        <w:rPr/>
        <w:t>The debt rescheduling that has been negotiated with the federal government (which commits part of revenues to payment of interest charges and amortizations) and the Law of Fiscal Responsibility that obliges the states to make pre-balanced budgets will probably be enough to guarantee a good performance on states’ fiscal accounts</w:t>
      </w:r>
    </w:p>
    <w:p>
      <w:pPr>
        <w:pStyle w:val="Normal"/>
        <w:jc w:val="both"/>
        <w:rPr/>
      </w:pPr>
      <w:r>
        <w:rPr/>
      </w:r>
    </w:p>
    <w:p>
      <w:pPr>
        <w:pStyle w:val="Normal"/>
        <w:numPr>
          <w:ilvl w:val="0"/>
          <w:numId w:val="2"/>
        </w:numPr>
        <w:jc w:val="both"/>
        <w:rPr>
          <w:rFonts w:ascii="Bookman Old Style" w:hAnsi="Bookman Old Style" w:cs="Bookman Old Style"/>
        </w:rPr>
      </w:pPr>
      <w:r>
        <w:rPr/>
        <w:t>The combination of the absence of sources of credit for the municipalities to finance current expenditure and generate primary deficits and the approval of the Law of Fiscal Responsibility will limit the chances of local governments to produce large imbalances in their accounts even in election years</w:t>
      </w:r>
    </w:p>
    <w:p>
      <w:pPr>
        <w:pStyle w:val="Heading5"/>
        <w:ind w:hanging="0" w:start="0"/>
        <w:rPr>
          <w:rFonts w:ascii="Bookman Old Style" w:hAnsi="Bookman Old Style" w:cs="Bookman Old Style"/>
          <w:lang w:val="pt-BR"/>
        </w:rPr>
      </w:pPr>
      <w:r>
        <w:rPr>
          <w:rFonts w:cs="Bookman Old Style"/>
          <w:lang w:val="pt-BR"/>
        </w:rPr>
      </w:r>
    </w:p>
    <w:p>
      <w:pPr>
        <w:pStyle w:val="Heading5"/>
        <w:ind w:hanging="0" w:start="0"/>
        <w:rPr>
          <w:lang w:val="pt-BR"/>
        </w:rPr>
      </w:pPr>
      <w:r>
        <w:rPr>
          <w:lang w:val="pt-BR"/>
        </w:rPr>
      </w:r>
    </w:p>
    <w:p>
      <w:pPr>
        <w:pStyle w:val="Normal"/>
        <w:rPr>
          <w:lang w:val="pt-BR"/>
        </w:rPr>
      </w:pPr>
      <w:r>
        <w:rPr>
          <w:lang w:val="pt-B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5"/>
        <w:ind w:hanging="0" w:start="0"/>
        <w:rPr>
          <w:lang w:val="pt-BR"/>
        </w:rPr>
      </w:pPr>
      <w:r>
        <w:rPr>
          <w:lang w:val="pt-BR"/>
        </w:rPr>
        <w:t xml:space="preserve">Political scenario  </w:t>
      </w:r>
    </w:p>
    <w:p>
      <w:pPr>
        <w:pStyle w:val="Normal"/>
        <w:jc w:val="both"/>
        <w:rPr>
          <w:sz w:val="22"/>
          <w:lang w:val="pt-BR"/>
        </w:rPr>
      </w:pPr>
      <w:r>
        <w:rPr>
          <w:sz w:val="22"/>
          <w:lang w:val="pt-BR"/>
        </w:rPr>
      </w:r>
    </w:p>
    <w:p>
      <w:pPr>
        <w:pStyle w:val="Normal"/>
        <w:jc w:val="both"/>
        <w:rPr/>
      </w:pPr>
      <w:r>
        <w:rPr/>
        <w:t xml:space="preserve">Contrary to what many political analysts were predicting a few months ago, President Cardoso’s government does seem to be firmly on the road to recovery, at least as far as the world of politics is concerned, although a recovery in its popularity among the population in general has yet to materialize.  There too, however, the prospects for a recovery are also favorable, and it has only been for cyclical reasons that this has not yet happened.  </w:t>
      </w:r>
    </w:p>
    <w:p>
      <w:pPr>
        <w:pStyle w:val="Normal"/>
        <w:jc w:val="both"/>
        <w:rPr/>
      </w:pPr>
      <w:r>
        <w:rPr/>
        <w:t xml:space="preserve">  </w:t>
      </w:r>
    </w:p>
    <w:p>
      <w:pPr>
        <w:pStyle w:val="Normal"/>
        <w:jc w:val="both"/>
        <w:rPr/>
      </w:pPr>
      <w:r>
        <w:rPr/>
        <w:t xml:space="preserve">It is quite usual for the month of May to show the president in a bad light (and this applies to any president in Brazil , not just Cardoso).  May is when the minimum wage is set and workers and pensioners are often disappointed in their expectations of a pay rise.  This year the debate on the amount to be set for the minimum wage became acrimonious after it was heated up fully two months ahead of the date, and this problem had the effect of cutting across the trend toward a recovery in the president’s popularity ratings.  </w:t>
      </w:r>
    </w:p>
    <w:p>
      <w:pPr>
        <w:pStyle w:val="Normal"/>
        <w:jc w:val="both"/>
        <w:rPr/>
      </w:pPr>
      <w:r>
        <w:rPr/>
        <w:t xml:space="preserve">  </w:t>
      </w:r>
    </w:p>
    <w:p>
      <w:pPr>
        <w:pStyle w:val="Normal"/>
        <w:jc w:val="both"/>
        <w:rPr/>
      </w:pPr>
      <w:r>
        <w:rPr/>
        <w:t xml:space="preserve">However, if the signs of a recovery in economic activity are confirmed – including domestic consumption, low and stable inflation and a downward trend in the interest rate </w:t>
        <w:noBreakHyphen/>
        <w:t xml:space="preserve"> it is quite reasonable to suppose that the federal government really will reap the benefits of a favorable mood in the economy.  Indeed, it may well be that this favorable prospect is behind the realignments between political forces in the coalition supporting President Cardoso.  </w:t>
      </w:r>
    </w:p>
    <w:p>
      <w:pPr>
        <w:pStyle w:val="Normal"/>
        <w:jc w:val="both"/>
        <w:rPr/>
      </w:pPr>
      <w:r>
        <w:rPr/>
        <w:t xml:space="preserve">  </w:t>
      </w:r>
    </w:p>
    <w:p>
      <w:pPr>
        <w:pStyle w:val="Normal"/>
        <w:jc w:val="both"/>
        <w:rPr/>
      </w:pPr>
      <w:r>
        <w:rPr/>
        <w:t xml:space="preserve">First, the PSDB (the president's own party) has maneuvered aside the PFL to become the numerically largest party in the House and thus has the right to nominate the presidents of all the most important Congressional commissions for the next two years.  </w:t>
      </w:r>
    </w:p>
    <w:p>
      <w:pPr>
        <w:pStyle w:val="Normal"/>
        <w:jc w:val="both"/>
        <w:rPr/>
      </w:pPr>
      <w:r>
        <w:rPr/>
        <w:t xml:space="preserve">  </w:t>
      </w:r>
    </w:p>
    <w:p>
      <w:pPr>
        <w:pStyle w:val="Normal"/>
        <w:jc w:val="both"/>
        <w:rPr/>
      </w:pPr>
      <w:r>
        <w:rPr/>
        <w:t xml:space="preserve">At the same time, the president has been repeating that the period of structural reforms is drawing to an end, so there is less need for broader alliances to obtain the quorums needed to vote them; so he can negotiate new conditions for support from each of the parties in his coalition.  </w:t>
      </w:r>
    </w:p>
    <w:p>
      <w:pPr>
        <w:pStyle w:val="Normal"/>
        <w:jc w:val="both"/>
        <w:rPr/>
      </w:pPr>
      <w:r>
        <w:rPr/>
        <w:t xml:space="preserve">  </w:t>
      </w:r>
    </w:p>
    <w:p>
      <w:pPr>
        <w:pStyle w:val="Normal"/>
        <w:jc w:val="both"/>
        <w:rPr/>
      </w:pPr>
      <w:r>
        <w:rPr/>
        <w:t xml:space="preserve">Finally, the most recent clashes between the top leaders of the PFL and the PMDB may be precisely a consequence of this new configuration of the coalition, in which the PFL has had to concede terrain to the PMDB.  Although it is still too early to say what the exact outcome will be, it seems quite clear that we will no longer see the president retreating from or even straitjacketed by his own coalition parties.  </w:t>
      </w:r>
    </w:p>
    <w:p>
      <w:pPr>
        <w:pStyle w:val="Normal"/>
        <w:jc w:val="both"/>
        <w:rPr/>
      </w:pPr>
      <w:r>
        <w:rPr/>
        <w:t xml:space="preserve">  </w:t>
      </w:r>
    </w:p>
    <w:p>
      <w:pPr>
        <w:pStyle w:val="Normal"/>
        <w:jc w:val="both"/>
        <w:rPr/>
      </w:pPr>
      <w:r>
        <w:rPr/>
        <w:t xml:space="preserve">Although the coalition is increasingly showing signs of tiredness internally, this favorable appraisal of the strength of the president’s position should be confirmed over the next few weeks by the vote on the Law of Fiscal Responsibility in the Senate, the Budget in Congress and the Law of Fiscal Penalties by the House.  </w:t>
      </w:r>
    </w:p>
    <w:p>
      <w:pPr>
        <w:pStyle w:val="Normal"/>
        <w:jc w:val="both"/>
        <w:rPr/>
      </w:pPr>
      <w:r>
        <w:rPr/>
        <w:t xml:space="preserve">  </w:t>
      </w:r>
    </w:p>
    <w:p>
      <w:pPr>
        <w:pStyle w:val="Normal"/>
        <w:jc w:val="both"/>
        <w:rPr/>
      </w:pPr>
      <w:r>
        <w:rPr/>
        <w:t xml:space="preserve">In any case, Congress has a tight voting schedule that will not leave much room for any real progress on matters such as reform of the judiciary or the tax system over the next few months.  Starting in May, the parties will begin to decide on their candidates for the municipal elections, so congressmen will probably spend more time in their home areas and it will be much harder to obtain a quorum in Brasilia.   </w:t>
      </w:r>
    </w:p>
    <w:p>
      <w:pPr>
        <w:pStyle w:val="Normal"/>
        <w:jc w:val="both"/>
        <w:rPr/>
      </w:pPr>
      <w:r>
        <w:rPr/>
        <w:t xml:space="preserve">  </w:t>
      </w:r>
    </w:p>
    <w:p>
      <w:pPr>
        <w:pStyle w:val="Normal"/>
        <w:jc w:val="both"/>
        <w:rPr/>
      </w:pPr>
      <w:r>
        <w:rPr/>
        <w:t>Unlike the previous election, the municipal elections this year are set to have an important impact on federal politics too.  The governing coalition has no obvious candidate for the presidential race in 2002 so the local election results will be a key factor positioning the major parties for the federal elections in three years time.  Neither can we rule out the possibility of the municipal elections influencing the federal level, both during and after the campaign.</w:t>
      </w:r>
    </w:p>
    <w:p>
      <w:pPr>
        <w:pStyle w:val="Heading3"/>
        <w:ind w:hanging="0" w:start="0"/>
        <w:rPr>
          <w:rFonts w:ascii="Bookman Old Style" w:hAnsi="Bookman Old Style" w:cs="Bookman Old Style"/>
          <w:sz w:val="20"/>
        </w:rPr>
      </w:pPr>
      <w:r>
        <w:rPr>
          <w:rFonts w:cs="Bookman Old Style" w:ascii="Bookman Old Style" w:hAnsi="Bookman Old Style"/>
          <w:sz w:val="20"/>
        </w:rPr>
      </w:r>
    </w:p>
    <w:p>
      <w:pPr>
        <w:pStyle w:val="Heading3"/>
        <w:ind w:hanging="0" w:start="0"/>
        <w:rPr>
          <w:rFonts w:ascii="Bookman Old Style" w:hAnsi="Bookman Old Style" w:cs="Bookman Old Style"/>
          <w:sz w:val="20"/>
        </w:rPr>
      </w:pPr>
      <w:r>
        <w:rPr>
          <w:rFonts w:cs="Bookman Old Style" w:ascii="Bookman Old Style" w:hAnsi="Bookman Old Style"/>
          <w:sz w:val="20"/>
        </w:rPr>
        <w:t>States and municipalities show improved fiscal situation</w:t>
      </w:r>
    </w:p>
    <w:p>
      <w:pPr>
        <w:pStyle w:val="Normal"/>
        <w:jc w:val="both"/>
        <w:rPr/>
      </w:pPr>
      <w:r>
        <w:rPr/>
        <w:t xml:space="preserve">  </w:t>
      </w:r>
    </w:p>
    <w:p>
      <w:pPr>
        <w:pStyle w:val="Normal"/>
        <w:jc w:val="both"/>
        <w:rPr/>
      </w:pPr>
      <w:r>
        <w:rPr/>
        <w:t xml:space="preserve">Achieving a significant primary surplus for the public sector in the last quarter of 1998 was the basis for the surprisingly good performance of the Brazilian economy last year.  The fiscal surplus not only allowed the government to apply a rigid monetary policy to hold inflation down to the Central Bank’s target, but also regain confidence in the solvency of the public sector by moving public debt on to a downward path as a proportion of GDP and rescheduling loan repayments.  </w:t>
      </w:r>
    </w:p>
    <w:p>
      <w:pPr>
        <w:pStyle w:val="Normal"/>
        <w:jc w:val="both"/>
        <w:rPr/>
      </w:pPr>
      <w:r>
        <w:rPr/>
        <w:t xml:space="preserve">  </w:t>
      </w:r>
    </w:p>
    <w:p>
      <w:pPr>
        <w:pStyle w:val="Normal"/>
        <w:jc w:val="both"/>
        <w:rPr/>
      </w:pPr>
      <w:r>
        <w:rPr/>
        <w:t xml:space="preserve">Finally, putting the brakes on the expansion of public debt and maintaining a fiscal surplus means that more credit should become available for the private sector to finance consumption and investment, and reduce the proportion of bank assets invested in government securities.  Given the importance of maintaining a fiscal surplus and given that the process of voting fiscal reforms has virtually ground to a halt on account of the municipal elections, plus the political pressure for more spending and the state governors' new attributions for setting regional minimum wages, a closer examination of the fiscal situation of the states and municipal districts is now crucial in light of the current state of the prospects for reform.  </w:t>
      </w:r>
    </w:p>
    <w:p>
      <w:pPr>
        <w:pStyle w:val="Normal"/>
        <w:jc w:val="both"/>
        <w:rPr/>
      </w:pPr>
      <w:r>
        <w:rPr/>
        <w:t xml:space="preserve">  </w:t>
      </w:r>
    </w:p>
    <w:p>
      <w:pPr>
        <w:pStyle w:val="Normal"/>
        <w:jc w:val="both"/>
        <w:rPr/>
      </w:pPr>
      <w:r>
        <w:rPr/>
        <w:t xml:space="preserve">Since wholesale industrial prices rose 30% after devaluation, federal, state and municipal taxes have been levied on a proportionately larger taxable base value.  Tax collection is therefore beginning to grow fast in nominal terms.  As consumer inflation was less than 10% for the same period, government was able to keep spending (mostly wages and pensions) under control and balance budgets with the help of this change in relative prices between the wholesale and consumer sectors.   </w:t>
      </w:r>
    </w:p>
    <w:p>
      <w:pPr>
        <w:pStyle w:val="Normal"/>
        <w:jc w:val="both"/>
        <w:rPr/>
      </w:pPr>
      <w:r>
        <w:rPr/>
        <w:t xml:space="preserve">  </w:t>
      </w:r>
    </w:p>
    <w:p>
      <w:pPr>
        <w:pStyle w:val="Normal"/>
        <w:jc w:val="both"/>
        <w:rPr/>
      </w:pPr>
      <w:r>
        <w:rPr/>
        <w:t xml:space="preserve">As a result, fiscal surpluses have been generated in many parts of the public sector.  In the specific case of the states and municipal districts, much of the collection of ICMS comes from taxation on value-added in recently privatized utilities such as electricity distribution, fuels and telephone services.  Since these industries had their prices adjusted by past inflation as measured by IGP-DI (which includes wholesale prices and accumulated 20% in 1999), states and municipal districts enjoyed higher revenues as from the 2nd half of 1999 and they are set for a new round of price adjustments over coming weeks and months that should guarantee another rise in tax collection.  </w:t>
      </w:r>
    </w:p>
    <w:p>
      <w:pPr>
        <w:pStyle w:val="Normal"/>
        <w:jc w:val="both"/>
        <w:rPr/>
      </w:pPr>
      <w:r>
        <w:rPr/>
        <w:t xml:space="preserve">  </w:t>
      </w:r>
    </w:p>
    <w:p>
      <w:pPr>
        <w:pStyle w:val="Normal"/>
        <w:jc w:val="both"/>
        <w:rPr/>
      </w:pPr>
      <w:r>
        <w:object w:dxaOrig="8836" w:dyaOrig="302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441.8pt;height:151.1pt;mso-wrap-distance-left:9.05pt;mso-wrap-distance-right:9.05pt;mso-position-horizontal-relative:text;mso-position-vertical-relative:text" filled="f" o:ole="">
            <v:imagedata r:id="rId3" o:title=""/>
            <w10:wrap type="topAndBottom"/>
          </v:shape>
          <o:OLEObject Type="Embed" ProgID="" ShapeID="ole_rId2" DrawAspect="Content" ObjectID="_346514600" r:id="rId2"/>
        </w:object>
      </w:r>
      <w:r>
        <w:rPr/>
        <w:t xml:space="preserve">   </w:t>
      </w:r>
    </w:p>
    <w:p>
      <w:pPr>
        <w:pStyle w:val="Normal"/>
        <w:jc w:val="both"/>
        <w:rPr/>
      </w:pPr>
      <w:r>
        <w:rPr/>
        <w:t xml:space="preserve">This report argues that changes in relative prices brought about by devaluation have greatly enhanced the effect of the adjustment process that the federal government has implemented on its own spending, as well as on that of the states and municipalities, beginning with the reforms and later accentuated by the IMF fiscal stabilization agreement.  The mechanisms for checking indebtedness of states and municipalities have started to kick in and have an impact; this reduces the urgency, in the short term at least, of major reforms (such as the “administrative” or civil service reform) in order to reach the primary surplus agreed on with the IMF for this year’s target (0.3% of GDP).  </w:t>
      </w:r>
    </w:p>
    <w:p>
      <w:pPr>
        <w:pStyle w:val="Normal"/>
        <w:jc w:val="both"/>
        <w:rPr/>
      </w:pPr>
      <w:r>
        <w:rPr/>
        <w:t xml:space="preserve">  </w:t>
      </w:r>
    </w:p>
    <w:p>
      <w:pPr>
        <w:pStyle w:val="Heading2"/>
        <w:ind w:hanging="0" w:start="0"/>
        <w:rPr>
          <w:color w:val="auto"/>
        </w:rPr>
      </w:pPr>
      <w:r>
        <w:rPr>
          <w:color w:val="auto"/>
        </w:rPr>
        <w:t xml:space="preserve">Adjustment through inflation: federal government first in line </w:t>
      </w:r>
    </w:p>
    <w:p>
      <w:pPr>
        <w:pStyle w:val="Normal"/>
        <w:jc w:val="both"/>
        <w:rPr/>
      </w:pPr>
      <w:r>
        <w:rPr/>
        <w:t xml:space="preserve">  </w:t>
      </w:r>
    </w:p>
    <w:p>
      <w:pPr>
        <w:pStyle w:val="Normal"/>
        <w:jc w:val="both"/>
        <w:rPr/>
      </w:pPr>
      <w:r>
        <w:rPr/>
        <w:t xml:space="preserve">Reaching the fiscal target for the federal government in 1999 was largely facilitated by increased rates for two taxes, (or “social contributions” as Cofins and CPMF are called) that happen to be taxes that show a high level of collection.  The Cofins rate rose from 2% to 3% of company revenues in February 1999; the amount collected rose by 72% and thus rose from 10.1% to 15.2% of total collection, including pension contributions.  The high collection was also favored by one-time revenues (the Federal Revenue made agreements or won court awards in relation to unpaid tax debts and revenues subject to court decisions).  In addition, although this has been much less quoted in analyses, there was the change in relative prices that raised prices and earnings of the tradable-related industries faster than the growth in earnings for the economy as a whole.   </w:t>
      </w:r>
    </w:p>
    <w:p>
      <w:pPr>
        <w:pStyle w:val="Normal"/>
        <w:jc w:val="both"/>
        <w:rPr/>
      </w:pPr>
      <w:r>
        <w:rPr/>
        <w:t xml:space="preserve">  </w:t>
      </w:r>
    </w:p>
    <w:p>
      <w:pPr>
        <w:pStyle w:val="Normal"/>
        <w:tabs>
          <w:tab w:val="clear" w:pos="720"/>
          <w:tab w:val="left" w:pos="360" w:leader="none"/>
        </w:tabs>
        <w:jc w:val="both"/>
        <w:rPr/>
      </w:pPr>
      <w:r>
        <w:rPr/>
        <w:t xml:space="preserve">Although part of the increase in private income has been in export-focused industries that are exempted from several taxes and contributions, these companies are liable for many of the taxes or “contributions” that have been levied at higher rates.  The collection as a whole was up 16.6% (14% including revenue for the public pensions fund), allowing the federal government to reach the surplus agreed with the IMF, despite the fact that current spending and investments were 20% above the estimated level (and even so were 5% down on 1998) and transfers to states and municipal districts were up by 17.1%.  </w:t>
      </w:r>
    </w:p>
    <w:p>
      <w:pPr>
        <w:pStyle w:val="Normal"/>
        <w:jc w:val="both"/>
        <w:rPr/>
      </w:pPr>
      <w:r>
        <w:rPr/>
        <w:t xml:space="preserve">  </w:t>
      </w:r>
    </w:p>
    <w:p>
      <w:pPr>
        <w:pStyle w:val="Normal"/>
        <w:jc w:val="both"/>
        <w:rPr/>
      </w:pPr>
      <w:r>
        <w:rPr/>
        <w:t xml:space="preserve">This year, we expect another 14% rise in federal collection (including pensions), but this time it will be less dependent on wholesale inflation (estimated at 10% for the year) and more linked to real GDP growth and to the all-year-long collection of some of the higher rates for levies that were in effect for only part of last year (i.e. CPMF and Cofins).   </w:t>
      </w:r>
    </w:p>
    <w:p>
      <w:pPr>
        <w:pStyle w:val="Normal"/>
        <w:jc w:val="both"/>
        <w:rPr/>
      </w:pPr>
      <w:r>
        <w:rPr/>
        <w:t xml:space="preserve">  </w:t>
      </w:r>
    </w:p>
    <w:p>
      <w:pPr>
        <w:pStyle w:val="Normal"/>
        <w:jc w:val="both"/>
        <w:rPr/>
      </w:pPr>
      <w:r>
        <w:rPr/>
        <w:t xml:space="preserve">This higher collection will be enough to increase transfers to states and municipalities by 20% (in view of the expiration of the Fiscal Stabilization Fund, which retained 20% of part of these transfers) and even so it will again be possible to ensure the IMF-agreed surplus and still leave a small margin for higher current spending, investment and pensions.  In fact, the performance of the collection has probably been one of the factors behind the federal government’s postponement of a political drive to vote tax reform.  </w:t>
      </w:r>
    </w:p>
    <w:p>
      <w:pPr>
        <w:pStyle w:val="Normal"/>
        <w:jc w:val="both"/>
        <w:rPr/>
      </w:pPr>
      <w:r>
        <w:rPr/>
        <w:t xml:space="preserve">  </w:t>
      </w:r>
    </w:p>
    <w:p>
      <w:pPr>
        <w:pStyle w:val="Heading2"/>
        <w:ind w:hanging="0" w:start="0"/>
        <w:rPr>
          <w:color w:val="auto"/>
        </w:rPr>
      </w:pPr>
      <w:r>
        <w:rPr>
          <w:color w:val="auto"/>
        </w:rPr>
        <w:t>Adjustment through inflation: the turn of state governments</w:t>
      </w:r>
    </w:p>
    <w:p>
      <w:pPr>
        <w:pStyle w:val="Normal"/>
        <w:jc w:val="both"/>
        <w:rPr/>
      </w:pPr>
      <w:r>
        <w:rPr/>
        <w:t xml:space="preserve">  </w:t>
      </w:r>
    </w:p>
    <w:p>
      <w:pPr>
        <w:pStyle w:val="Normal"/>
        <w:jc w:val="both"/>
        <w:rPr/>
      </w:pPr>
      <w:r>
        <w:rPr/>
        <w:t xml:space="preserve">State government finances have been (on the whole) much more troubled than federal ones over recent years.  Payroll commitments swallowed much of the collection, and a significant part of this spending has been tied to pension payments.  This left the states depending on the prospects for civil service reform (downsizing their workforce), introducing state-level caps on salaries and voting a levy on retired civil servants to help fund pensions.   </w:t>
      </w:r>
    </w:p>
    <w:p>
      <w:pPr>
        <w:pStyle w:val="Normal"/>
        <w:jc w:val="both"/>
        <w:rPr/>
      </w:pPr>
      <w:r>
        <w:rPr/>
        <w:t xml:space="preserve">  </w:t>
      </w:r>
    </w:p>
    <w:p>
      <w:pPr>
        <w:pStyle w:val="Normal"/>
        <w:jc w:val="both"/>
        <w:rPr/>
      </w:pPr>
      <w:r>
        <w:rPr/>
        <w:t xml:space="preserve">For the states, the pensions and civil service reforms as a whole mean bringing in a new pension funding system to be capitalized by the sale of assets or by settling accounts between state treasuries and the INSS federal pensions fund (as foreseen by the Hauly Law).  This new system will gradually take over pension spending and receive the inflow of contributions from working and retired civil servants, thus freeing state treasuries from this expenditure.  </w:t>
      </w:r>
    </w:p>
    <w:p>
      <w:pPr>
        <w:pStyle w:val="Normal"/>
        <w:jc w:val="both"/>
        <w:rPr/>
      </w:pPr>
      <w:r>
        <w:rPr/>
        <w:t xml:space="preserve">  </w:t>
      </w:r>
    </w:p>
    <w:p>
      <w:pPr>
        <w:pStyle w:val="Normal"/>
        <w:jc w:val="both"/>
        <w:rPr/>
      </w:pPr>
      <w:r>
        <w:rPr/>
        <w:t xml:space="preserve">However, there has so far been little benefit from these arrangements.  There is just one policy instrument that does not actually facilitate primary adjustment, but does put pressure on for it to be carried through; this is the agreement on bond- and bank - financed debt rollover in which the federal government took over states’ debts to original creditors and refinanced them for 30 years with charges geared to IGP-DI (the index that combines both consumer prices and wholesale prices, and which therefore increased tracking the currency).   </w:t>
      </w:r>
    </w:p>
    <w:p>
      <w:pPr>
        <w:pStyle w:val="Normal"/>
        <w:jc w:val="both"/>
        <w:rPr/>
      </w:pPr>
      <w:r>
        <w:rPr/>
        <w:t xml:space="preserve">  </w:t>
      </w:r>
    </w:p>
    <w:p>
      <w:pPr>
        <w:pStyle w:val="Normal"/>
        <w:jc w:val="both"/>
        <w:rPr/>
      </w:pPr>
      <w:r>
        <w:rPr/>
        <w:t xml:space="preserve">In exchange for longer-term repayment at lower interest rates, the federal government has been guaranteed a fixed percentage of state revenues, varying between 10% and 12.5%, to be devoted to repayment of debt.  Since the states collect about 8% of GDP, these agreements – which include most states, excepting some smaller ones that do not count for much revenue – have generated a transfer from the states to the federal government of almost 1% of the GDP.  </w:t>
      </w:r>
    </w:p>
    <w:p>
      <w:pPr>
        <w:pStyle w:val="Normal"/>
        <w:jc w:val="both"/>
        <w:rPr/>
      </w:pPr>
      <w:r>
        <w:rPr/>
        <w:t xml:space="preserve">  </w:t>
      </w:r>
    </w:p>
    <w:p>
      <w:pPr>
        <w:pStyle w:val="Normal"/>
        <w:jc w:val="both"/>
        <w:rPr/>
      </w:pPr>
      <w:r>
        <w:rPr/>
        <w:t xml:space="preserve">This transfer was not reflected in a primary surplus of the same magnitude in state budgets, since payroll costs, pensions funding and investments continued to exceed the remaining 87.5% to 90%.  The states financed this excess on current spending through capital revenues such as the sale of assets or even new debt beyond the control of federal government.  Mechanisms such as the Minas Gerais state government's moratorium did not have a negative effect on the primary deficit because the federal government was able to execute warranties, hold back federal transfers and guarantee payment under the agreement.  </w:t>
      </w:r>
    </w:p>
    <w:p>
      <w:pPr>
        <w:pStyle w:val="Normal"/>
        <w:jc w:val="both"/>
        <w:rPr/>
      </w:pPr>
      <w:r>
        <w:rPr/>
        <w:t xml:space="preserve">  </w:t>
      </w:r>
    </w:p>
    <w:p>
      <w:pPr>
        <w:pStyle w:val="Normal"/>
        <w:jc w:val="both"/>
        <w:rPr/>
      </w:pPr>
      <w:r>
        <w:rPr/>
        <w:t xml:space="preserve">Since the debt agreement in and of itself was not capable of adjusting state expenditures to the point of generating a lasting surplus, and since the reforms creating mechanisms for reducing spending are not yet in place or in effect, the following question arises: how did the state governments move from a primary deficit of R$ 3.8 billion in 1998 (0.41% of GDP) to a surplus of R$ 1.6 billion last year (0.16% of GDP) and show a R$ 1.7 billion surplus for the month of January 2000 alone?  </w:t>
      </w:r>
    </w:p>
    <w:p>
      <w:pPr>
        <w:pStyle w:val="Normal"/>
        <w:jc w:val="both"/>
        <w:rPr/>
      </w:pPr>
      <w:r>
        <w:rPr/>
        <w:t xml:space="preserve">  </w:t>
      </w:r>
    </w:p>
    <w:p>
      <w:pPr>
        <w:pStyle w:val="Normal"/>
        <w:jc w:val="both"/>
        <w:rPr/>
      </w:pPr>
      <w:r>
        <w:drawing>
          <wp:anchor behindDoc="0" distT="0" distB="0" distL="114935" distR="114935" simplePos="0" locked="0" layoutInCell="0" allowOverlap="1" relativeHeight="19">
            <wp:simplePos x="0" y="0"/>
            <wp:positionH relativeFrom="column">
              <wp:posOffset>17145</wp:posOffset>
            </wp:positionH>
            <wp:positionV relativeFrom="paragraph">
              <wp:posOffset>1188085</wp:posOffset>
            </wp:positionV>
            <wp:extent cx="5610860" cy="26073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5" t="-10" r="-5" b="-10"/>
                    <a:stretch>
                      <a:fillRect/>
                    </a:stretch>
                  </pic:blipFill>
                  <pic:spPr bwMode="auto">
                    <a:xfrm>
                      <a:off x="0" y="0"/>
                      <a:ext cx="5610860" cy="2607310"/>
                    </a:xfrm>
                    <a:prstGeom prst="rect">
                      <a:avLst/>
                    </a:prstGeom>
                    <a:noFill/>
                  </pic:spPr>
                </pic:pic>
              </a:graphicData>
            </a:graphic>
          </wp:anchor>
        </w:drawing>
      </w:r>
      <w:r>
        <w:rPr/>
        <w:t xml:space="preserve">The answer is that the effects of wholesale inflation allowed the federal government to generate a primary surplus last year, and this worked through to the states a few months later.  Higher prices in sectors that weigh heavily in the collection of ICMS increased revenues particularly in the second half-year.  The total revenue of the states (ICMS, IPVA and other taxes) went from a small growthin the first half-year to 17% growth in the 3rd quarter, 23% in the 4th quarter and 25% in January 2000.  </w:t>
      </w:r>
    </w:p>
    <w:p>
      <w:pPr>
        <w:pStyle w:val="Normal"/>
        <w:jc w:val="both"/>
        <w:rPr/>
      </w:pPr>
      <w:r>
        <w:rPr/>
        <w:t xml:space="preserve">  </w:t>
      </w:r>
    </w:p>
    <w:p>
      <w:pPr>
        <w:pStyle w:val="Normal"/>
        <w:jc w:val="both"/>
        <w:rPr/>
      </w:pPr>
      <w:r>
        <w:rPr/>
        <w:t xml:space="preserve">  </w:t>
      </w:r>
    </w:p>
    <w:p>
      <w:pPr>
        <w:pStyle w:val="Normal"/>
        <w:jc w:val="both"/>
        <w:rPr/>
      </w:pPr>
      <w:r>
        <w:rPr/>
        <w:t xml:space="preserve">  </w:t>
      </w:r>
    </w:p>
    <w:p>
      <w:pPr>
        <w:pStyle w:val="Normal"/>
        <w:jc w:val="both"/>
        <w:rPr/>
      </w:pPr>
      <w:r>
        <w:rPr/>
        <w:t xml:space="preserve">This revenue increase allowed several states to update payrolls and reach the month of January free from troubles on this front, as was explained by the department of the Central Bank in charge of calculating the primary surplus in the states.  This combined with the record collection in January (which reflected strong year-end sales and also inflation for the period) and meant that the states were able to turn in the fine performance we have mentioned above.  </w:t>
      </w:r>
    </w:p>
    <w:p>
      <w:pPr>
        <w:pStyle w:val="Normal"/>
        <w:jc w:val="both"/>
        <w:rPr/>
      </w:pPr>
      <w:r>
        <w:rPr/>
        <w:t xml:space="preserve">  </w:t>
      </w:r>
    </w:p>
    <w:p>
      <w:pPr>
        <w:pStyle w:val="Normal"/>
        <w:jc w:val="both"/>
        <w:rPr/>
      </w:pPr>
      <w:r>
        <w:rPr/>
        <w:t xml:space="preserve">Another reason for improved fiscal performance was the 20% growth in federal government's transfers to the states and municipalities, mainly transfers under the Law Kandir, which were up 79% in 1999, since the growth in federal collection was concentrated in revenue from social contributions that are not shared with the states.  </w:t>
      </w:r>
    </w:p>
    <w:p>
      <w:pPr>
        <w:pStyle w:val="Normal"/>
        <w:jc w:val="both"/>
        <w:rPr/>
      </w:pPr>
      <w:r>
        <w:rPr/>
        <w:t xml:space="preserve">  </w:t>
      </w:r>
    </w:p>
    <w:p>
      <w:pPr>
        <w:pStyle w:val="Normal"/>
        <w:jc w:val="both"/>
        <w:rPr/>
      </w:pPr>
      <w:r>
        <w:rPr/>
        <w:t xml:space="preserve">The improvement in the fiscal situation of the states this year suggests a number of conclusions.  First, not much can be expected from civil service reform this year, since besides being an electoral year, the growth in collection is helping many states to fulfill the cap on payroll commitments set at 60% of net revenue, which is stipulated in the Law of Fiscal Responsibility soon due to be approved in the Senate.  Second, several of the states that have more balanced budgets may actually increase payroll spending, whether through across-the-board wage rises, or through higher regional minimum wages affecting the low-paid public employees.  </w:t>
      </w:r>
    </w:p>
    <w:p>
      <w:pPr>
        <w:pStyle w:val="Normal"/>
        <w:jc w:val="both"/>
        <w:rPr/>
      </w:pPr>
      <w:r>
        <w:rPr/>
        <w:t xml:space="preserve">  </w:t>
      </w:r>
    </w:p>
    <w:p>
      <w:pPr>
        <w:pStyle w:val="Normal"/>
        <w:jc w:val="both"/>
        <w:rPr/>
      </w:pPr>
      <w:r>
        <w:rPr/>
        <w:t xml:space="preserve">Finally, even though public payrolls have not been downsized, some states will be re-launching public investments financed by international organisms such as the World Bank.  This increase in indebtedness and investment spending explains why we should not expect to see state primary surpluses nearing 1% of GDP on account of the debt agreement with the federal government.  Since several states have their finances balanced, the Senate has been allowing an increase in international indebtedness (which reduces the primary surplus) with the World Bank or the Inter-American Development Bank, a development that was moreover foreseen in the IMF package negotiated at the end of 1998.   </w:t>
      </w:r>
    </w:p>
    <w:p>
      <w:pPr>
        <w:pStyle w:val="Normal"/>
        <w:jc w:val="both"/>
        <w:rPr/>
      </w:pPr>
      <w:r>
        <w:rPr/>
        <w:t xml:space="preserve">  </w:t>
      </w:r>
    </w:p>
    <w:p>
      <w:pPr>
        <w:pStyle w:val="Normal"/>
        <w:jc w:val="both"/>
        <w:rPr/>
      </w:pPr>
      <w:r>
        <w:rPr/>
        <w:t xml:space="preserve">It remains to be seen whether these higher expenditures will impede the generation of primary surpluses in this election year and in the following years.  Some evidence points to an optimistic prospect on this front.  There is the debt rescheduling that has been negotiated with the federal government and there is the Law of Fiscal Responsibility which commits part of revenues to payment of interest charges and amortizations, and obliges the states to make pre-balanced budgets as of this year, and also bans continued spending increases unless the appropriate revenues are foreseen.   </w:t>
      </w:r>
    </w:p>
    <w:p>
      <w:pPr>
        <w:pStyle w:val="Normal"/>
        <w:jc w:val="both"/>
        <w:rPr/>
      </w:pPr>
      <w:r>
        <w:rPr/>
        <w:t xml:space="preserve">  </w:t>
      </w:r>
    </w:p>
    <w:p>
      <w:pPr>
        <w:pStyle w:val="Normal"/>
        <w:jc w:val="both"/>
        <w:rPr/>
      </w:pPr>
      <w:r>
        <w:rPr/>
        <w:t xml:space="preserve">Furthermore, the highest growth in collection has been in many states in low-income regions, and it is not concentrated.  In the South and Southeast, the highest increases in collection have been in the states with the highest payroll (and pensions) commitments, i.e. Rio de Janeiro and Minas Gerais.  </w:t>
      </w:r>
    </w:p>
    <w:p>
      <w:pPr>
        <w:pStyle w:val="Normal"/>
        <w:jc w:val="both"/>
        <w:rPr/>
      </w:pPr>
      <w:r>
        <w:rPr/>
        <w:t xml:space="preserve">  </w:t>
      </w:r>
    </w:p>
    <w:p>
      <w:pPr>
        <w:pStyle w:val="Normal"/>
        <w:jc w:val="both"/>
        <w:rPr/>
      </w:pPr>
      <w:r>
        <w:rPr/>
        <w:t xml:space="preserve">There are further indirect grounds for optimism if we look at the result of the 1998 elections.  Among the 15 states spending less than 63% of revenue on payrolls, there were 13 governors re-elected or who succeeded in attracting votes for their candidate for governor.  Among the 12 states with higher payroll commitments, only 2 governors were re-elected.  </w:t>
      </w:r>
    </w:p>
    <w:p>
      <w:pPr>
        <w:pStyle w:val="Normal"/>
        <w:jc w:val="both"/>
        <w:rPr/>
      </w:pPr>
      <w:r>
        <w:rPr/>
        <w:t xml:space="preserve">  </w:t>
      </w:r>
    </w:p>
    <w:p>
      <w:pPr>
        <w:pStyle w:val="Heading5"/>
        <w:ind w:hanging="0" w:start="0"/>
        <w:rPr>
          <w:lang w:val="pt-BR"/>
        </w:rPr>
      </w:pPr>
      <w:r>
        <w:rPr>
          <w:lang w:val="pt-BR"/>
        </w:rPr>
        <w:t xml:space="preserve">What of the municipalities?  </w:t>
      </w:r>
    </w:p>
    <w:p>
      <w:pPr>
        <w:pStyle w:val="Normal"/>
        <w:jc w:val="both"/>
        <w:rPr/>
      </w:pPr>
      <w:r>
        <w:rPr/>
        <w:t xml:space="preserve">  </w:t>
      </w:r>
    </w:p>
    <w:p>
      <w:pPr>
        <w:pStyle w:val="Normal"/>
        <w:jc w:val="both"/>
        <w:rPr/>
      </w:pPr>
      <w:r>
        <w:rPr/>
        <w:t xml:space="preserve">Municipalities take a 25% share of the collection of state ICMS and 50% of the collection of IPVA (up in 1999, and a further 10% up in January 2000) and receive more than half of federal government's constitutionally mandated transfers.  All this makes them beneficiaries of the higher collection that the other levels of government have achieved.  </w:t>
      </w:r>
    </w:p>
    <w:p>
      <w:pPr>
        <w:pStyle w:val="Normal"/>
        <w:jc w:val="both"/>
        <w:rPr/>
      </w:pPr>
      <w:r>
        <w:rPr/>
        <w:t xml:space="preserve">  </w:t>
      </w:r>
    </w:p>
    <w:p>
      <w:pPr>
        <w:pStyle w:val="Normal"/>
        <w:jc w:val="both"/>
        <w:rPr/>
      </w:pPr>
      <w:r>
        <w:rPr/>
        <w:t xml:space="preserve">Individual analysis of municipalities is difficult due to lack of data on total revenues, but there are 3 factors that allow us to make a few assumptions. </w:t>
      </w:r>
    </w:p>
    <w:p>
      <w:pPr>
        <w:pStyle w:val="Normal"/>
        <w:jc w:val="both"/>
        <w:rPr/>
      </w:pPr>
      <w:r>
        <w:rPr/>
      </w:r>
    </w:p>
    <w:p>
      <w:pPr>
        <w:pStyle w:val="Normal"/>
        <w:jc w:val="both"/>
        <w:rPr/>
      </w:pPr>
      <w:r>
        <w:rPr/>
        <w:t xml:space="preserve">First, the municipalities showed a R$ 2billion surplus in 1998, R$ 700 million in 1999 and a R$ 465 million surplus in January this year.  In other words, they had relatively balanced budgets.  </w:t>
      </w:r>
    </w:p>
    <w:p>
      <w:pPr>
        <w:pStyle w:val="Normal"/>
        <w:jc w:val="both"/>
        <w:rPr/>
      </w:pPr>
      <w:r>
        <w:rPr/>
        <w:t xml:space="preserve">  </w:t>
      </w:r>
    </w:p>
    <w:p>
      <w:pPr>
        <w:pStyle w:val="Normal"/>
        <w:jc w:val="both"/>
        <w:rPr/>
      </w:pPr>
      <w:r>
        <w:rPr/>
        <w:t xml:space="preserve">Second, the two main state capitals have greater weight in total municipal revenue and expenditure than their respective states of São Paulo and Rio de Janeiro have in the total for the states (51%).  The City of São Paulo has a debt-rescheduling program along the same lines as the states, which should commit a share of its revenue to payment of interest charges and ensure a primary surplus for Brazil’s largest municipal budget.  Another 180 municipalities (of a total 5,507) have also asked to join the debt-rescheduling program.  </w:t>
      </w:r>
    </w:p>
    <w:p>
      <w:pPr>
        <w:pStyle w:val="Normal"/>
        <w:jc w:val="both"/>
        <w:rPr/>
      </w:pPr>
      <w:r>
        <w:rPr/>
        <w:t xml:space="preserve">  </w:t>
      </w:r>
    </w:p>
    <w:p>
      <w:pPr>
        <w:pStyle w:val="Normal"/>
        <w:jc w:val="both"/>
        <w:rPr/>
      </w:pPr>
      <w:r>
        <w:rPr/>
        <w:t xml:space="preserve">The third factor is a combination of the absence of sources of credit for the municipalities to finance current expenditure and generate primary deficits and the imminent approval of the Law of Fiscal Responsibility.  The new legislation will check any increase in municipal indebtedness and force budgets to remain in balance, and their execution too.  These three factors suggest that the municipalities may succeed in maintaining balanced budgets, or, as in São Paulo, which has a heavy weighting in the total figures for municipalities, renegotiate debts and adjust expenditures to show a surplus.  </w:t>
      </w:r>
    </w:p>
    <w:p>
      <w:pPr>
        <w:pStyle w:val="Normal"/>
        <w:jc w:val="both"/>
        <w:rPr/>
      </w:pPr>
      <w:r>
        <w:rPr/>
        <w:t xml:space="preserve">  </w:t>
      </w:r>
    </w:p>
    <w:p>
      <w:pPr>
        <w:pStyle w:val="Normal"/>
        <w:jc w:val="both"/>
        <w:rPr/>
      </w:pPr>
      <w:r>
        <w:rPr/>
        <w:t xml:space="preserve">This performance in the 2 areas considered risky from the point of view of non-fulfillment favors the chances of the overall target being achieved, even more so when it is considered that the federal government has planned its state-sector enterprises to reach a surplus of 0.5% of GDP instead of 0.3% of GDP, to cover a possible reduction in the surplus from states and municipalities from 0.3% of GDP to 0.1% of GDP.  The January figures for the states may well let the state-sector enterprises off the hook, since they need only another R$ 1 billion surplus over the rest of the year to fulfill their part of the overall surplus.  The graph showing total collection and expenditure for states and municipalities indicates that revenue has been growing faster than expenditure, forming a surplus of R$ 4 billion, or 0.38% of GDP, for the 12 months ending in January.  It is therefore very likely that states and municipalities and the public sector overall will achieve their primary surplus targets, as agreed with the IMF, of 0.3% of GDP and 3.25% of GDP respectively.  </w:t>
      </w:r>
    </w:p>
    <w:p>
      <w:pPr>
        <w:pStyle w:val="Normal"/>
        <w:rPr>
          <w:sz w:val="22"/>
          <w:lang w:val="en-CA"/>
        </w:rPr>
      </w:pPr>
      <w:r>
        <w:rPr>
          <w:sz w:val="22"/>
          <w:lang w:val="en-CA"/>
        </w:rPr>
        <w:object w:dxaOrig="8960" w:dyaOrig="460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1.35pt;margin-top:8.55pt;width:432.7pt;height:201.4pt;mso-wrap-distance-left:9.05pt;mso-wrap-distance-right:9.05pt;mso-position-horizontal-relative:text;mso-position-vertical-relative:text" filled="f" o:ole="">
            <v:imagedata r:id="rId6" o:title=""/>
            <w10:wrap type="topAndBottom"/>
          </v:shape>
          <o:OLEObject Type="Embed" ProgID="Excel.Sheet.12" ShapeID="ole_rId5" DrawAspect="Content" ObjectID="_800758664" r:id="rId5"/>
        </w:objec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9200" w:type="dxa"/>
        <w:jc w:val="start"/>
        <w:tblInd w:w="0" w:type="dxa"/>
        <w:tblLayout w:type="fixed"/>
        <w:tblCellMar>
          <w:top w:w="0" w:type="dxa"/>
          <w:start w:w="113" w:type="dxa"/>
          <w:bottom w:w="0" w:type="dxa"/>
          <w:end w:w="113" w:type="dxa"/>
        </w:tblCellMar>
      </w:tblPr>
      <w:tblGrid>
        <w:gridCol w:w="589"/>
        <w:gridCol w:w="1082"/>
        <w:gridCol w:w="1165"/>
        <w:gridCol w:w="1104"/>
        <w:gridCol w:w="1008"/>
        <w:gridCol w:w="1271"/>
        <w:gridCol w:w="1"/>
        <w:gridCol w:w="1548"/>
        <w:gridCol w:w="1431"/>
        <w:gridCol w:w="1"/>
      </w:tblGrid>
      <w:tr>
        <w:trPr/>
        <w:tc>
          <w:tcPr>
            <w:tcW w:w="9199" w:type="dxa"/>
            <w:gridSpan w:val="9"/>
            <w:tcBorders>
              <w:top w:val="single" w:sz="12" w:space="0" w:color="000000"/>
              <w:start w:val="single" w:sz="12" w:space="0" w:color="000000"/>
              <w:end w:val="single" w:sz="12" w:space="0" w:color="000000"/>
            </w:tcBorders>
          </w:tcPr>
          <w:p>
            <w:pPr>
              <w:pStyle w:val="Heading1"/>
              <w:ind w:hanging="0" w:start="0"/>
              <w:rPr/>
            </w:pPr>
            <w:r>
              <w:rPr/>
              <w:t>ECONOMIC FORECASTS 2000</w:t>
            </w:r>
          </w:p>
        </w:tc>
      </w:tr>
      <w:tr>
        <w:trPr/>
        <w:tc>
          <w:tcPr>
            <w:tcW w:w="9199" w:type="dxa"/>
            <w:gridSpan w:val="9"/>
            <w:tcBorders>
              <w:top w:val="single" w:sz="12" w:space="0" w:color="000000"/>
              <w:start w:val="single" w:sz="12" w:space="0" w:color="000000"/>
              <w:bottom w:val="single" w:sz="6" w:space="0" w:color="000000"/>
              <w:end w:val="single" w:sz="12" w:space="0" w:color="000000"/>
            </w:tcBorders>
          </w:tcPr>
          <w:p>
            <w:pPr>
              <w:pStyle w:val="Normal"/>
              <w:jc w:val="center"/>
              <w:rPr>
                <w:b/>
                <w:sz w:val="32"/>
              </w:rPr>
            </w:pPr>
            <w:r>
              <w:rPr>
                <w:b/>
                <w:sz w:val="32"/>
              </w:rPr>
              <w:t>ECONOMIC ACTIVITY</w:t>
            </w:r>
          </w:p>
        </w:tc>
      </w:tr>
      <w:tr>
        <w:trPr/>
        <w:tc>
          <w:tcPr>
            <w:tcW w:w="589"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sz w:val="32"/>
              </w:rPr>
            </w:pPr>
            <w:r>
              <w:rPr>
                <w:b/>
                <w:sz w:val="32"/>
              </w:rPr>
            </w:r>
          </w:p>
        </w:tc>
        <w:tc>
          <w:tcPr>
            <w:tcW w:w="4359" w:type="dxa"/>
            <w:gridSpan w:val="4"/>
            <w:tcBorders>
              <w:top w:val="single" w:sz="6" w:space="0" w:color="000000"/>
              <w:start w:val="single" w:sz="6" w:space="0" w:color="000000"/>
              <w:bottom w:val="single" w:sz="6" w:space="0" w:color="000000"/>
              <w:end w:val="single" w:sz="6" w:space="0" w:color="000000"/>
            </w:tcBorders>
          </w:tcPr>
          <w:p>
            <w:pPr>
              <w:pStyle w:val="Normal"/>
              <w:jc w:val="center"/>
              <w:rPr>
                <w:b/>
                <w:sz w:val="22"/>
              </w:rPr>
            </w:pPr>
            <w:r>
              <w:rPr>
                <w:b/>
                <w:sz w:val="22"/>
              </w:rPr>
              <w:t>GDP</w:t>
            </w:r>
          </w:p>
        </w:tc>
        <w:tc>
          <w:tcPr>
            <w:tcW w:w="1271" w:type="dxa"/>
            <w:tcBorders>
              <w:top w:val="single" w:sz="6" w:space="0" w:color="000000"/>
              <w:start w:val="single" w:sz="6" w:space="0" w:color="000000"/>
              <w:end w:val="single" w:sz="6" w:space="0" w:color="000000"/>
            </w:tcBorders>
          </w:tcPr>
          <w:p>
            <w:pPr>
              <w:pStyle w:val="Normal"/>
              <w:snapToGrid w:val="false"/>
              <w:jc w:val="center"/>
              <w:rPr>
                <w:b/>
                <w:sz w:val="18"/>
              </w:rPr>
            </w:pPr>
            <w:r>
              <w:rPr>
                <w:b/>
                <w:sz w:val="18"/>
              </w:rPr>
            </w:r>
          </w:p>
        </w:tc>
        <w:tc>
          <w:tcPr>
            <w:tcW w:w="1549" w:type="dxa"/>
            <w:gridSpan w:val="2"/>
            <w:tcBorders>
              <w:top w:val="single" w:sz="6" w:space="0" w:color="000000"/>
              <w:start w:val="single" w:sz="6" w:space="0" w:color="000000"/>
              <w:end w:val="single" w:sz="6" w:space="0" w:color="000000"/>
            </w:tcBorders>
          </w:tcPr>
          <w:p>
            <w:pPr>
              <w:pStyle w:val="Normal"/>
              <w:snapToGrid w:val="false"/>
              <w:rPr>
                <w:b/>
                <w:sz w:val="16"/>
              </w:rPr>
            </w:pPr>
            <w:r>
              <w:rPr>
                <w:b/>
                <w:sz w:val="16"/>
              </w:rPr>
            </w:r>
          </w:p>
        </w:tc>
        <w:tc>
          <w:tcPr>
            <w:tcW w:w="1432" w:type="dxa"/>
            <w:tcBorders>
              <w:top w:val="single" w:sz="6" w:space="0" w:color="000000"/>
              <w:start w:val="single" w:sz="6" w:space="0" w:color="000000"/>
              <w:end w:val="single" w:sz="12" w:space="0" w:color="000000"/>
            </w:tcBorders>
          </w:tcPr>
          <w:p>
            <w:pPr>
              <w:pStyle w:val="Normal"/>
              <w:jc w:val="center"/>
              <w:rPr>
                <w:b/>
                <w:sz w:val="18"/>
              </w:rPr>
            </w:pPr>
            <w:r>
              <w:rPr>
                <w:b/>
                <w:sz w:val="18"/>
              </w:rPr>
              <w:t>Ind`l Capacity</w:t>
            </w:r>
          </w:p>
        </w:tc>
      </w:tr>
      <w:tr>
        <w:trPr/>
        <w:tc>
          <w:tcPr>
            <w:tcW w:w="589"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sz w:val="18"/>
              </w:rPr>
            </w:pPr>
            <w:r>
              <w:rPr>
                <w:b/>
                <w:sz w:val="18"/>
              </w:rPr>
            </w:r>
          </w:p>
        </w:tc>
        <w:tc>
          <w:tcPr>
            <w:tcW w:w="4359" w:type="dxa"/>
            <w:gridSpan w:val="4"/>
            <w:tcBorders>
              <w:top w:val="single" w:sz="6" w:space="0" w:color="000000"/>
              <w:start w:val="single" w:sz="6" w:space="0" w:color="000000"/>
              <w:bottom w:val="single" w:sz="6" w:space="0" w:color="000000"/>
              <w:end w:val="single" w:sz="6" w:space="0" w:color="000000"/>
            </w:tcBorders>
          </w:tcPr>
          <w:p>
            <w:pPr>
              <w:pStyle w:val="Normal"/>
              <w:jc w:val="center"/>
              <w:rPr>
                <w:sz w:val="16"/>
              </w:rPr>
            </w:pPr>
            <w:r>
              <w:rPr>
                <w:b/>
                <w:sz w:val="16"/>
              </w:rPr>
              <w:t>% growth</w:t>
            </w:r>
          </w:p>
        </w:tc>
        <w:tc>
          <w:tcPr>
            <w:tcW w:w="1271" w:type="dxa"/>
            <w:tcBorders>
              <w:start w:val="single" w:sz="6" w:space="0" w:color="000000"/>
              <w:end w:val="single" w:sz="6" w:space="0" w:color="000000"/>
            </w:tcBorders>
          </w:tcPr>
          <w:p>
            <w:pPr>
              <w:pStyle w:val="Normal"/>
              <w:jc w:val="center"/>
              <w:rPr>
                <w:b/>
                <w:sz w:val="18"/>
              </w:rPr>
            </w:pPr>
            <w:r>
              <w:rPr>
                <w:b/>
                <w:sz w:val="18"/>
              </w:rPr>
              <w:t>Investment</w:t>
            </w:r>
          </w:p>
        </w:tc>
        <w:tc>
          <w:tcPr>
            <w:tcW w:w="1549" w:type="dxa"/>
            <w:gridSpan w:val="2"/>
            <w:tcBorders>
              <w:start w:val="single" w:sz="6" w:space="0" w:color="000000"/>
              <w:end w:val="single" w:sz="6" w:space="0" w:color="000000"/>
            </w:tcBorders>
          </w:tcPr>
          <w:p>
            <w:pPr>
              <w:pStyle w:val="Heading4"/>
              <w:ind w:hanging="0" w:start="0"/>
              <w:rPr/>
            </w:pPr>
            <w:r>
              <w:rPr/>
              <w:t>Unemployment</w:t>
            </w:r>
          </w:p>
        </w:tc>
        <w:tc>
          <w:tcPr>
            <w:tcW w:w="1432" w:type="dxa"/>
            <w:tcBorders>
              <w:start w:val="single" w:sz="6" w:space="0" w:color="000000"/>
              <w:end w:val="single" w:sz="12" w:space="0" w:color="000000"/>
            </w:tcBorders>
          </w:tcPr>
          <w:p>
            <w:pPr>
              <w:pStyle w:val="Normal"/>
              <w:jc w:val="center"/>
              <w:rPr>
                <w:b/>
                <w:sz w:val="18"/>
              </w:rPr>
            </w:pPr>
            <w:r>
              <w:rPr>
                <w:b/>
                <w:sz w:val="18"/>
              </w:rPr>
              <w:t>Utilization</w:t>
            </w:r>
          </w:p>
        </w:tc>
      </w:tr>
      <w:tr>
        <w:trPr/>
        <w:tc>
          <w:tcPr>
            <w:tcW w:w="589"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sz w:val="18"/>
              </w:rPr>
            </w:pPr>
            <w:r>
              <w:rPr>
                <w:b/>
                <w:sz w:val="18"/>
              </w:rPr>
            </w:r>
          </w:p>
        </w:tc>
        <w:tc>
          <w:tcPr>
            <w:tcW w:w="1082"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Total</w:t>
            </w:r>
          </w:p>
        </w:tc>
        <w:tc>
          <w:tcPr>
            <w:tcW w:w="1165"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Agriculture</w:t>
            </w:r>
          </w:p>
        </w:tc>
        <w:tc>
          <w:tcPr>
            <w:tcW w:w="1104"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Industry</w:t>
            </w:r>
          </w:p>
        </w:tc>
        <w:tc>
          <w:tcPr>
            <w:tcW w:w="1008"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Services</w:t>
            </w:r>
          </w:p>
        </w:tc>
        <w:tc>
          <w:tcPr>
            <w:tcW w:w="1272" w:type="dxa"/>
            <w:gridSpan w:val="2"/>
            <w:tcBorders>
              <w:start w:val="single" w:sz="6" w:space="0" w:color="000000"/>
              <w:bottom w:val="single" w:sz="6" w:space="0" w:color="000000"/>
              <w:end w:val="single" w:sz="6" w:space="0" w:color="000000"/>
            </w:tcBorders>
          </w:tcPr>
          <w:p>
            <w:pPr>
              <w:pStyle w:val="Normal"/>
              <w:jc w:val="center"/>
              <w:rPr>
                <w:sz w:val="18"/>
              </w:rPr>
            </w:pPr>
            <w:r>
              <w:rPr>
                <w:b/>
                <w:sz w:val="18"/>
              </w:rPr>
              <w:t>% GDP</w:t>
            </w:r>
          </w:p>
        </w:tc>
        <w:tc>
          <w:tcPr>
            <w:tcW w:w="1548" w:type="dxa"/>
            <w:tcBorders>
              <w:start w:val="single" w:sz="6" w:space="0" w:color="000000"/>
              <w:bottom w:val="single" w:sz="6" w:space="0" w:color="000000"/>
              <w:end w:val="single" w:sz="6" w:space="0" w:color="000000"/>
            </w:tcBorders>
          </w:tcPr>
          <w:p>
            <w:pPr>
              <w:pStyle w:val="Normal"/>
              <w:jc w:val="center"/>
              <w:rPr>
                <w:b/>
                <w:sz w:val="18"/>
              </w:rPr>
            </w:pPr>
            <w:r>
              <w:rPr>
                <w:b/>
                <w:sz w:val="18"/>
              </w:rPr>
              <w:t>IBGE (%)</w:t>
            </w:r>
          </w:p>
        </w:tc>
        <w:tc>
          <w:tcPr>
            <w:tcW w:w="1432" w:type="dxa"/>
            <w:tcBorders>
              <w:start w:val="single" w:sz="6" w:space="0" w:color="000000"/>
              <w:bottom w:val="single" w:sz="6" w:space="0" w:color="000000"/>
              <w:end w:val="single" w:sz="12" w:space="0" w:color="000000"/>
            </w:tcBorders>
          </w:tcPr>
          <w:p>
            <w:pPr>
              <w:pStyle w:val="Normal"/>
              <w:jc w:val="center"/>
              <w:rPr>
                <w:b/>
                <w:sz w:val="18"/>
              </w:rPr>
            </w:pPr>
            <w:r>
              <w:rPr>
                <w:b/>
                <w:sz w:val="18"/>
              </w:rPr>
              <w:t>FGV (%)</w:t>
            </w:r>
          </w:p>
        </w:tc>
      </w:tr>
      <w:tr>
        <w:trPr/>
        <w:tc>
          <w:tcPr>
            <w:tcW w:w="589" w:type="dxa"/>
            <w:tcBorders>
              <w:start w:val="single" w:sz="12" w:space="0" w:color="000000"/>
              <w:end w:val="single" w:sz="6" w:space="0" w:color="000000"/>
            </w:tcBorders>
          </w:tcPr>
          <w:p>
            <w:pPr>
              <w:pStyle w:val="Normal"/>
              <w:jc w:val="center"/>
              <w:rPr>
                <w:b/>
                <w:sz w:val="16"/>
              </w:rPr>
            </w:pPr>
            <w:r>
              <w:rPr>
                <w:b/>
                <w:sz w:val="16"/>
              </w:rPr>
              <w:t>1993</w:t>
            </w:r>
          </w:p>
        </w:tc>
        <w:tc>
          <w:tcPr>
            <w:tcW w:w="1082" w:type="dxa"/>
            <w:tcBorders>
              <w:start w:val="single" w:sz="6" w:space="0" w:color="000000"/>
            </w:tcBorders>
          </w:tcPr>
          <w:p>
            <w:pPr>
              <w:pStyle w:val="Normal"/>
              <w:jc w:val="center"/>
              <w:rPr>
                <w:sz w:val="18"/>
              </w:rPr>
            </w:pPr>
            <w:r>
              <w:rPr>
                <w:sz w:val="18"/>
              </w:rPr>
              <w:t>4.4</w:t>
            </w:r>
          </w:p>
        </w:tc>
        <w:tc>
          <w:tcPr>
            <w:tcW w:w="1165" w:type="dxa"/>
            <w:tcBorders/>
          </w:tcPr>
          <w:p>
            <w:pPr>
              <w:pStyle w:val="Normal"/>
              <w:jc w:val="center"/>
              <w:rPr>
                <w:sz w:val="18"/>
              </w:rPr>
            </w:pPr>
            <w:r>
              <w:rPr>
                <w:sz w:val="18"/>
              </w:rPr>
              <w:t>0.2</w:t>
            </w:r>
          </w:p>
        </w:tc>
        <w:tc>
          <w:tcPr>
            <w:tcW w:w="1104" w:type="dxa"/>
            <w:tcBorders/>
          </w:tcPr>
          <w:p>
            <w:pPr>
              <w:pStyle w:val="Normal"/>
              <w:jc w:val="center"/>
              <w:rPr>
                <w:sz w:val="18"/>
              </w:rPr>
            </w:pPr>
            <w:r>
              <w:rPr>
                <w:sz w:val="18"/>
              </w:rPr>
              <w:t>7.0</w:t>
            </w:r>
          </w:p>
        </w:tc>
        <w:tc>
          <w:tcPr>
            <w:tcW w:w="1008" w:type="dxa"/>
            <w:tcBorders/>
          </w:tcPr>
          <w:p>
            <w:pPr>
              <w:pStyle w:val="Normal"/>
              <w:jc w:val="center"/>
              <w:rPr>
                <w:sz w:val="18"/>
              </w:rPr>
            </w:pPr>
            <w:r>
              <w:rPr>
                <w:sz w:val="18"/>
              </w:rPr>
              <w:t>1.8</w:t>
            </w:r>
          </w:p>
        </w:tc>
        <w:tc>
          <w:tcPr>
            <w:tcW w:w="1272" w:type="dxa"/>
            <w:gridSpan w:val="2"/>
            <w:tcBorders/>
          </w:tcPr>
          <w:p>
            <w:pPr>
              <w:pStyle w:val="Normal"/>
              <w:jc w:val="center"/>
              <w:rPr>
                <w:sz w:val="18"/>
              </w:rPr>
            </w:pPr>
            <w:r>
              <w:rPr>
                <w:sz w:val="18"/>
              </w:rPr>
              <w:t>14.4</w:t>
            </w:r>
          </w:p>
        </w:tc>
        <w:tc>
          <w:tcPr>
            <w:tcW w:w="1548" w:type="dxa"/>
            <w:tcBorders/>
          </w:tcPr>
          <w:p>
            <w:pPr>
              <w:pStyle w:val="Normal"/>
              <w:jc w:val="center"/>
              <w:rPr>
                <w:sz w:val="18"/>
              </w:rPr>
            </w:pPr>
            <w:r>
              <w:rPr>
                <w:sz w:val="18"/>
              </w:rPr>
              <w:t>5.6</w:t>
            </w:r>
          </w:p>
        </w:tc>
        <w:tc>
          <w:tcPr>
            <w:tcW w:w="1432" w:type="dxa"/>
            <w:tcBorders>
              <w:end w:val="single" w:sz="12" w:space="0" w:color="000000"/>
            </w:tcBorders>
          </w:tcPr>
          <w:p>
            <w:pPr>
              <w:pStyle w:val="Normal"/>
              <w:jc w:val="center"/>
              <w:rPr>
                <w:sz w:val="18"/>
              </w:rPr>
            </w:pPr>
            <w:r>
              <w:rPr>
                <w:sz w:val="18"/>
              </w:rPr>
              <w:t>77</w:t>
            </w:r>
          </w:p>
        </w:tc>
      </w:tr>
      <w:tr>
        <w:trPr/>
        <w:tc>
          <w:tcPr>
            <w:tcW w:w="589" w:type="dxa"/>
            <w:tcBorders>
              <w:start w:val="single" w:sz="12" w:space="0" w:color="000000"/>
              <w:end w:val="single" w:sz="6" w:space="0" w:color="000000"/>
            </w:tcBorders>
          </w:tcPr>
          <w:p>
            <w:pPr>
              <w:pStyle w:val="Normal"/>
              <w:jc w:val="center"/>
              <w:rPr>
                <w:b/>
                <w:sz w:val="16"/>
              </w:rPr>
            </w:pPr>
            <w:r>
              <w:rPr>
                <w:b/>
                <w:sz w:val="16"/>
              </w:rPr>
              <w:t>1994</w:t>
            </w:r>
          </w:p>
        </w:tc>
        <w:tc>
          <w:tcPr>
            <w:tcW w:w="1082" w:type="dxa"/>
            <w:tcBorders>
              <w:start w:val="single" w:sz="6" w:space="0" w:color="000000"/>
            </w:tcBorders>
          </w:tcPr>
          <w:p>
            <w:pPr>
              <w:pStyle w:val="Normal"/>
              <w:jc w:val="center"/>
              <w:rPr>
                <w:sz w:val="18"/>
              </w:rPr>
            </w:pPr>
            <w:r>
              <w:rPr>
                <w:sz w:val="18"/>
              </w:rPr>
              <w:t>5.6</w:t>
            </w:r>
          </w:p>
        </w:tc>
        <w:tc>
          <w:tcPr>
            <w:tcW w:w="1165" w:type="dxa"/>
            <w:tcBorders/>
          </w:tcPr>
          <w:p>
            <w:pPr>
              <w:pStyle w:val="Normal"/>
              <w:jc w:val="center"/>
              <w:rPr>
                <w:sz w:val="18"/>
              </w:rPr>
            </w:pPr>
            <w:r>
              <w:rPr>
                <w:sz w:val="18"/>
              </w:rPr>
              <w:t>5.5</w:t>
            </w:r>
          </w:p>
        </w:tc>
        <w:tc>
          <w:tcPr>
            <w:tcW w:w="1104" w:type="dxa"/>
            <w:tcBorders/>
          </w:tcPr>
          <w:p>
            <w:pPr>
              <w:pStyle w:val="Normal"/>
              <w:jc w:val="center"/>
              <w:rPr>
                <w:sz w:val="18"/>
              </w:rPr>
            </w:pPr>
            <w:r>
              <w:rPr>
                <w:sz w:val="18"/>
              </w:rPr>
              <w:t>6.7</w:t>
            </w:r>
          </w:p>
        </w:tc>
        <w:tc>
          <w:tcPr>
            <w:tcW w:w="1008" w:type="dxa"/>
            <w:tcBorders/>
          </w:tcPr>
          <w:p>
            <w:pPr>
              <w:pStyle w:val="Normal"/>
              <w:jc w:val="center"/>
              <w:rPr>
                <w:sz w:val="18"/>
              </w:rPr>
            </w:pPr>
            <w:r>
              <w:rPr>
                <w:sz w:val="18"/>
              </w:rPr>
              <w:t>1.8</w:t>
            </w:r>
          </w:p>
        </w:tc>
        <w:tc>
          <w:tcPr>
            <w:tcW w:w="1272" w:type="dxa"/>
            <w:gridSpan w:val="2"/>
            <w:tcBorders/>
          </w:tcPr>
          <w:p>
            <w:pPr>
              <w:pStyle w:val="Normal"/>
              <w:jc w:val="center"/>
              <w:rPr>
                <w:sz w:val="18"/>
              </w:rPr>
            </w:pPr>
            <w:r>
              <w:rPr>
                <w:sz w:val="18"/>
              </w:rPr>
              <w:t>15.3</w:t>
            </w:r>
          </w:p>
        </w:tc>
        <w:tc>
          <w:tcPr>
            <w:tcW w:w="1548" w:type="dxa"/>
            <w:tcBorders/>
          </w:tcPr>
          <w:p>
            <w:pPr>
              <w:pStyle w:val="Normal"/>
              <w:jc w:val="center"/>
              <w:rPr>
                <w:sz w:val="18"/>
              </w:rPr>
            </w:pPr>
            <w:r>
              <w:rPr>
                <w:sz w:val="18"/>
              </w:rPr>
              <w:t>5.4</w:t>
            </w:r>
          </w:p>
        </w:tc>
        <w:tc>
          <w:tcPr>
            <w:tcW w:w="1432" w:type="dxa"/>
            <w:tcBorders>
              <w:end w:val="single" w:sz="12" w:space="0" w:color="000000"/>
            </w:tcBorders>
          </w:tcPr>
          <w:p>
            <w:pPr>
              <w:pStyle w:val="Normal"/>
              <w:jc w:val="center"/>
              <w:rPr>
                <w:sz w:val="18"/>
              </w:rPr>
            </w:pPr>
            <w:r>
              <w:rPr>
                <w:sz w:val="18"/>
              </w:rPr>
              <w:t>80</w:t>
            </w:r>
          </w:p>
        </w:tc>
      </w:tr>
      <w:tr>
        <w:trPr/>
        <w:tc>
          <w:tcPr>
            <w:tcW w:w="589" w:type="dxa"/>
            <w:tcBorders>
              <w:start w:val="single" w:sz="12" w:space="0" w:color="000000"/>
              <w:end w:val="single" w:sz="6" w:space="0" w:color="000000"/>
            </w:tcBorders>
          </w:tcPr>
          <w:p>
            <w:pPr>
              <w:pStyle w:val="Normal"/>
              <w:jc w:val="center"/>
              <w:rPr>
                <w:b/>
                <w:sz w:val="16"/>
              </w:rPr>
            </w:pPr>
            <w:r>
              <w:rPr>
                <w:b/>
                <w:sz w:val="16"/>
              </w:rPr>
              <w:t>1995</w:t>
            </w:r>
          </w:p>
        </w:tc>
        <w:tc>
          <w:tcPr>
            <w:tcW w:w="1082" w:type="dxa"/>
            <w:tcBorders>
              <w:start w:val="single" w:sz="6" w:space="0" w:color="000000"/>
            </w:tcBorders>
          </w:tcPr>
          <w:p>
            <w:pPr>
              <w:pStyle w:val="Normal"/>
              <w:jc w:val="center"/>
              <w:rPr>
                <w:sz w:val="18"/>
              </w:rPr>
            </w:pPr>
            <w:r>
              <w:rPr>
                <w:sz w:val="18"/>
              </w:rPr>
              <w:t>3.6</w:t>
            </w:r>
          </w:p>
        </w:tc>
        <w:tc>
          <w:tcPr>
            <w:tcW w:w="1165" w:type="dxa"/>
            <w:tcBorders/>
          </w:tcPr>
          <w:p>
            <w:pPr>
              <w:pStyle w:val="Normal"/>
              <w:jc w:val="center"/>
              <w:rPr>
                <w:sz w:val="18"/>
              </w:rPr>
            </w:pPr>
            <w:r>
              <w:rPr>
                <w:sz w:val="18"/>
              </w:rPr>
              <w:t>4.1</w:t>
            </w:r>
          </w:p>
        </w:tc>
        <w:tc>
          <w:tcPr>
            <w:tcW w:w="1104" w:type="dxa"/>
            <w:tcBorders/>
          </w:tcPr>
          <w:p>
            <w:pPr>
              <w:pStyle w:val="Normal"/>
              <w:jc w:val="center"/>
              <w:rPr>
                <w:sz w:val="18"/>
              </w:rPr>
            </w:pPr>
            <w:r>
              <w:rPr>
                <w:sz w:val="18"/>
              </w:rPr>
              <w:t>2.5</w:t>
            </w:r>
          </w:p>
        </w:tc>
        <w:tc>
          <w:tcPr>
            <w:tcW w:w="1008" w:type="dxa"/>
            <w:tcBorders/>
          </w:tcPr>
          <w:p>
            <w:pPr>
              <w:pStyle w:val="Normal"/>
              <w:jc w:val="center"/>
              <w:rPr>
                <w:sz w:val="18"/>
              </w:rPr>
            </w:pPr>
            <w:r>
              <w:rPr>
                <w:sz w:val="18"/>
              </w:rPr>
              <w:t>1.4</w:t>
            </w:r>
          </w:p>
        </w:tc>
        <w:tc>
          <w:tcPr>
            <w:tcW w:w="1272" w:type="dxa"/>
            <w:gridSpan w:val="2"/>
            <w:tcBorders/>
          </w:tcPr>
          <w:p>
            <w:pPr>
              <w:pStyle w:val="Normal"/>
              <w:jc w:val="center"/>
              <w:rPr>
                <w:sz w:val="18"/>
              </w:rPr>
            </w:pPr>
            <w:r>
              <w:rPr>
                <w:sz w:val="18"/>
              </w:rPr>
              <w:t>16.7</w:t>
            </w:r>
          </w:p>
        </w:tc>
        <w:tc>
          <w:tcPr>
            <w:tcW w:w="1548" w:type="dxa"/>
            <w:tcBorders/>
          </w:tcPr>
          <w:p>
            <w:pPr>
              <w:pStyle w:val="Normal"/>
              <w:jc w:val="center"/>
              <w:rPr>
                <w:sz w:val="18"/>
              </w:rPr>
            </w:pPr>
            <w:r>
              <w:rPr>
                <w:sz w:val="18"/>
              </w:rPr>
              <w:t>5.0</w:t>
            </w:r>
          </w:p>
        </w:tc>
        <w:tc>
          <w:tcPr>
            <w:tcW w:w="1432" w:type="dxa"/>
            <w:tcBorders>
              <w:end w:val="single" w:sz="12" w:space="0" w:color="000000"/>
            </w:tcBorders>
          </w:tcPr>
          <w:p>
            <w:pPr>
              <w:pStyle w:val="Normal"/>
              <w:jc w:val="center"/>
              <w:rPr>
                <w:sz w:val="18"/>
              </w:rPr>
            </w:pPr>
            <w:r>
              <w:rPr>
                <w:sz w:val="18"/>
              </w:rPr>
              <w:t>83</w:t>
            </w:r>
          </w:p>
        </w:tc>
      </w:tr>
      <w:tr>
        <w:trPr/>
        <w:tc>
          <w:tcPr>
            <w:tcW w:w="589" w:type="dxa"/>
            <w:tcBorders>
              <w:start w:val="single" w:sz="12" w:space="0" w:color="000000"/>
              <w:end w:val="single" w:sz="6" w:space="0" w:color="000000"/>
            </w:tcBorders>
          </w:tcPr>
          <w:p>
            <w:pPr>
              <w:pStyle w:val="Normal"/>
              <w:jc w:val="center"/>
              <w:rPr>
                <w:b/>
                <w:sz w:val="16"/>
              </w:rPr>
            </w:pPr>
            <w:r>
              <w:rPr>
                <w:b/>
                <w:sz w:val="16"/>
              </w:rPr>
              <w:t>1996</w:t>
            </w:r>
          </w:p>
        </w:tc>
        <w:tc>
          <w:tcPr>
            <w:tcW w:w="1082" w:type="dxa"/>
            <w:tcBorders>
              <w:start w:val="single" w:sz="6" w:space="0" w:color="000000"/>
            </w:tcBorders>
          </w:tcPr>
          <w:p>
            <w:pPr>
              <w:pStyle w:val="Normal"/>
              <w:jc w:val="center"/>
              <w:rPr>
                <w:sz w:val="18"/>
              </w:rPr>
            </w:pPr>
            <w:r>
              <w:rPr>
                <w:sz w:val="18"/>
              </w:rPr>
              <w:t>2.7</w:t>
            </w:r>
          </w:p>
        </w:tc>
        <w:tc>
          <w:tcPr>
            <w:tcW w:w="1165" w:type="dxa"/>
            <w:tcBorders/>
          </w:tcPr>
          <w:p>
            <w:pPr>
              <w:pStyle w:val="Normal"/>
              <w:jc w:val="center"/>
              <w:rPr>
                <w:sz w:val="18"/>
              </w:rPr>
            </w:pPr>
            <w:r>
              <w:rPr>
                <w:sz w:val="18"/>
              </w:rPr>
              <w:t>4.0</w:t>
            </w:r>
          </w:p>
        </w:tc>
        <w:tc>
          <w:tcPr>
            <w:tcW w:w="1104" w:type="dxa"/>
            <w:tcBorders/>
          </w:tcPr>
          <w:p>
            <w:pPr>
              <w:pStyle w:val="Normal"/>
              <w:jc w:val="center"/>
              <w:rPr>
                <w:sz w:val="18"/>
              </w:rPr>
            </w:pPr>
            <w:r>
              <w:rPr>
                <w:sz w:val="18"/>
              </w:rPr>
              <w:t>3.8</w:t>
            </w:r>
          </w:p>
        </w:tc>
        <w:tc>
          <w:tcPr>
            <w:tcW w:w="1008" w:type="dxa"/>
            <w:tcBorders/>
          </w:tcPr>
          <w:p>
            <w:pPr>
              <w:pStyle w:val="Normal"/>
              <w:jc w:val="center"/>
              <w:rPr>
                <w:sz w:val="18"/>
              </w:rPr>
            </w:pPr>
            <w:r>
              <w:rPr>
                <w:sz w:val="18"/>
              </w:rPr>
              <w:t>0.8</w:t>
            </w:r>
          </w:p>
        </w:tc>
        <w:tc>
          <w:tcPr>
            <w:tcW w:w="1272" w:type="dxa"/>
            <w:gridSpan w:val="2"/>
            <w:tcBorders/>
          </w:tcPr>
          <w:p>
            <w:pPr>
              <w:pStyle w:val="Normal"/>
              <w:jc w:val="center"/>
              <w:rPr>
                <w:sz w:val="18"/>
              </w:rPr>
            </w:pPr>
            <w:r>
              <w:rPr>
                <w:sz w:val="18"/>
              </w:rPr>
              <w:t>16.5</w:t>
            </w:r>
          </w:p>
        </w:tc>
        <w:tc>
          <w:tcPr>
            <w:tcW w:w="1548" w:type="dxa"/>
            <w:tcBorders/>
          </w:tcPr>
          <w:p>
            <w:pPr>
              <w:pStyle w:val="Normal"/>
              <w:jc w:val="center"/>
              <w:rPr>
                <w:sz w:val="18"/>
              </w:rPr>
            </w:pPr>
            <w:r>
              <w:rPr>
                <w:sz w:val="18"/>
              </w:rPr>
              <w:t>5.8</w:t>
            </w:r>
          </w:p>
        </w:tc>
        <w:tc>
          <w:tcPr>
            <w:tcW w:w="1432" w:type="dxa"/>
            <w:tcBorders>
              <w:end w:val="single" w:sz="12" w:space="0" w:color="000000"/>
            </w:tcBorders>
          </w:tcPr>
          <w:p>
            <w:pPr>
              <w:pStyle w:val="Normal"/>
              <w:jc w:val="center"/>
              <w:rPr>
                <w:sz w:val="18"/>
              </w:rPr>
            </w:pPr>
            <w:r>
              <w:rPr>
                <w:sz w:val="18"/>
              </w:rPr>
              <w:t>82</w:t>
            </w:r>
          </w:p>
        </w:tc>
      </w:tr>
      <w:tr>
        <w:trPr/>
        <w:tc>
          <w:tcPr>
            <w:tcW w:w="589" w:type="dxa"/>
            <w:tcBorders>
              <w:start w:val="single" w:sz="12" w:space="0" w:color="000000"/>
              <w:end w:val="single" w:sz="6" w:space="0" w:color="000000"/>
            </w:tcBorders>
          </w:tcPr>
          <w:p>
            <w:pPr>
              <w:pStyle w:val="Normal"/>
              <w:jc w:val="center"/>
              <w:rPr>
                <w:b/>
                <w:sz w:val="16"/>
              </w:rPr>
            </w:pPr>
            <w:r>
              <w:rPr>
                <w:b/>
                <w:sz w:val="16"/>
              </w:rPr>
              <w:t>1997</w:t>
            </w:r>
          </w:p>
        </w:tc>
        <w:tc>
          <w:tcPr>
            <w:tcW w:w="1082" w:type="dxa"/>
            <w:tcBorders>
              <w:start w:val="single" w:sz="6" w:space="0" w:color="000000"/>
            </w:tcBorders>
          </w:tcPr>
          <w:p>
            <w:pPr>
              <w:pStyle w:val="Normal"/>
              <w:jc w:val="center"/>
              <w:rPr>
                <w:sz w:val="18"/>
              </w:rPr>
            </w:pPr>
            <w:r>
              <w:rPr>
                <w:sz w:val="18"/>
              </w:rPr>
              <w:t>3.5</w:t>
            </w:r>
          </w:p>
        </w:tc>
        <w:tc>
          <w:tcPr>
            <w:tcW w:w="1165" w:type="dxa"/>
            <w:tcBorders/>
          </w:tcPr>
          <w:p>
            <w:pPr>
              <w:pStyle w:val="Normal"/>
              <w:jc w:val="center"/>
              <w:rPr>
                <w:sz w:val="18"/>
              </w:rPr>
            </w:pPr>
            <w:r>
              <w:rPr>
                <w:sz w:val="18"/>
              </w:rPr>
              <w:t>2.9</w:t>
            </w:r>
          </w:p>
        </w:tc>
        <w:tc>
          <w:tcPr>
            <w:tcW w:w="1104" w:type="dxa"/>
            <w:tcBorders/>
          </w:tcPr>
          <w:p>
            <w:pPr>
              <w:pStyle w:val="Normal"/>
              <w:jc w:val="center"/>
              <w:rPr>
                <w:sz w:val="18"/>
              </w:rPr>
            </w:pPr>
            <w:r>
              <w:rPr>
                <w:sz w:val="18"/>
              </w:rPr>
              <w:t>5.5</w:t>
            </w:r>
          </w:p>
        </w:tc>
        <w:tc>
          <w:tcPr>
            <w:tcW w:w="1008" w:type="dxa"/>
            <w:tcBorders/>
          </w:tcPr>
          <w:p>
            <w:pPr>
              <w:pStyle w:val="Normal"/>
              <w:jc w:val="center"/>
              <w:rPr>
                <w:sz w:val="18"/>
              </w:rPr>
            </w:pPr>
            <w:r>
              <w:rPr>
                <w:sz w:val="18"/>
              </w:rPr>
              <w:t>1.7</w:t>
            </w:r>
          </w:p>
        </w:tc>
        <w:tc>
          <w:tcPr>
            <w:tcW w:w="1272" w:type="dxa"/>
            <w:gridSpan w:val="2"/>
            <w:tcBorders/>
          </w:tcPr>
          <w:p>
            <w:pPr>
              <w:pStyle w:val="Normal"/>
              <w:jc w:val="center"/>
              <w:rPr>
                <w:sz w:val="18"/>
              </w:rPr>
            </w:pPr>
            <w:r>
              <w:rPr>
                <w:sz w:val="18"/>
              </w:rPr>
              <w:t>18.0</w:t>
            </w:r>
          </w:p>
        </w:tc>
        <w:tc>
          <w:tcPr>
            <w:tcW w:w="1548" w:type="dxa"/>
            <w:tcBorders/>
          </w:tcPr>
          <w:p>
            <w:pPr>
              <w:pStyle w:val="Normal"/>
              <w:jc w:val="center"/>
              <w:rPr>
                <w:sz w:val="18"/>
              </w:rPr>
            </w:pPr>
            <w:r>
              <w:rPr>
                <w:sz w:val="18"/>
              </w:rPr>
              <w:t>6.1</w:t>
            </w:r>
          </w:p>
        </w:tc>
        <w:tc>
          <w:tcPr>
            <w:tcW w:w="1432" w:type="dxa"/>
            <w:tcBorders>
              <w:end w:val="single" w:sz="12" w:space="0" w:color="000000"/>
            </w:tcBorders>
          </w:tcPr>
          <w:p>
            <w:pPr>
              <w:pStyle w:val="Normal"/>
              <w:jc w:val="center"/>
              <w:rPr>
                <w:sz w:val="18"/>
              </w:rPr>
            </w:pPr>
            <w:r>
              <w:rPr>
                <w:sz w:val="18"/>
              </w:rPr>
              <w:t>84</w:t>
            </w:r>
          </w:p>
        </w:tc>
      </w:tr>
      <w:tr>
        <w:trPr/>
        <w:tc>
          <w:tcPr>
            <w:tcW w:w="589" w:type="dxa"/>
            <w:tcBorders>
              <w:start w:val="single" w:sz="12" w:space="0" w:color="000000"/>
              <w:end w:val="single" w:sz="6" w:space="0" w:color="000000"/>
            </w:tcBorders>
          </w:tcPr>
          <w:p>
            <w:pPr>
              <w:pStyle w:val="Normal"/>
              <w:jc w:val="center"/>
              <w:rPr>
                <w:b/>
                <w:sz w:val="16"/>
              </w:rPr>
            </w:pPr>
            <w:r>
              <w:rPr>
                <w:b/>
                <w:sz w:val="16"/>
              </w:rPr>
              <w:t>1998</w:t>
            </w:r>
          </w:p>
        </w:tc>
        <w:tc>
          <w:tcPr>
            <w:tcW w:w="1082" w:type="dxa"/>
            <w:tcBorders>
              <w:start w:val="single" w:sz="6" w:space="0" w:color="000000"/>
            </w:tcBorders>
          </w:tcPr>
          <w:p>
            <w:pPr>
              <w:pStyle w:val="Normal"/>
              <w:jc w:val="center"/>
              <w:rPr>
                <w:sz w:val="18"/>
              </w:rPr>
            </w:pPr>
            <w:r>
              <w:rPr>
                <w:sz w:val="18"/>
              </w:rPr>
              <w:t>-0.1</w:t>
            </w:r>
          </w:p>
        </w:tc>
        <w:tc>
          <w:tcPr>
            <w:tcW w:w="1165" w:type="dxa"/>
            <w:tcBorders/>
          </w:tcPr>
          <w:p>
            <w:pPr>
              <w:pStyle w:val="Normal"/>
              <w:jc w:val="center"/>
              <w:rPr>
                <w:sz w:val="18"/>
              </w:rPr>
            </w:pPr>
            <w:r>
              <w:rPr>
                <w:sz w:val="18"/>
              </w:rPr>
              <w:t>-3.8</w:t>
            </w:r>
          </w:p>
        </w:tc>
        <w:tc>
          <w:tcPr>
            <w:tcW w:w="1104" w:type="dxa"/>
            <w:tcBorders/>
          </w:tcPr>
          <w:p>
            <w:pPr>
              <w:pStyle w:val="Normal"/>
              <w:jc w:val="center"/>
              <w:rPr>
                <w:sz w:val="18"/>
              </w:rPr>
            </w:pPr>
            <w:r>
              <w:rPr>
                <w:sz w:val="18"/>
              </w:rPr>
              <w:t>-1.4</w:t>
            </w:r>
          </w:p>
        </w:tc>
        <w:tc>
          <w:tcPr>
            <w:tcW w:w="1008" w:type="dxa"/>
            <w:tcBorders/>
          </w:tcPr>
          <w:p>
            <w:pPr>
              <w:pStyle w:val="Normal"/>
              <w:jc w:val="center"/>
              <w:rPr>
                <w:sz w:val="18"/>
              </w:rPr>
            </w:pPr>
            <w:r>
              <w:rPr>
                <w:sz w:val="18"/>
              </w:rPr>
              <w:t>2.6</w:t>
            </w:r>
          </w:p>
        </w:tc>
        <w:tc>
          <w:tcPr>
            <w:tcW w:w="1272" w:type="dxa"/>
            <w:gridSpan w:val="2"/>
            <w:tcBorders/>
          </w:tcPr>
          <w:p>
            <w:pPr>
              <w:pStyle w:val="Normal"/>
              <w:jc w:val="center"/>
              <w:rPr>
                <w:sz w:val="18"/>
              </w:rPr>
            </w:pPr>
            <w:r>
              <w:rPr>
                <w:sz w:val="18"/>
              </w:rPr>
              <w:t>17.7</w:t>
            </w:r>
          </w:p>
        </w:tc>
        <w:tc>
          <w:tcPr>
            <w:tcW w:w="1548" w:type="dxa"/>
            <w:tcBorders/>
          </w:tcPr>
          <w:p>
            <w:pPr>
              <w:pStyle w:val="Normal"/>
              <w:jc w:val="center"/>
              <w:rPr>
                <w:sz w:val="18"/>
              </w:rPr>
            </w:pPr>
            <w:r>
              <w:rPr>
                <w:sz w:val="18"/>
              </w:rPr>
              <w:t>8.4</w:t>
            </w:r>
          </w:p>
        </w:tc>
        <w:tc>
          <w:tcPr>
            <w:tcW w:w="1432" w:type="dxa"/>
            <w:tcBorders>
              <w:end w:val="single" w:sz="12" w:space="0" w:color="000000"/>
            </w:tcBorders>
          </w:tcPr>
          <w:p>
            <w:pPr>
              <w:pStyle w:val="Normal"/>
              <w:jc w:val="center"/>
              <w:rPr>
                <w:sz w:val="18"/>
              </w:rPr>
            </w:pPr>
            <w:r>
              <w:rPr>
                <w:sz w:val="18"/>
              </w:rPr>
              <w:t>82</w:t>
            </w:r>
          </w:p>
        </w:tc>
      </w:tr>
      <w:tr>
        <w:trPr/>
        <w:tc>
          <w:tcPr>
            <w:tcW w:w="589" w:type="dxa"/>
            <w:tcBorders>
              <w:start w:val="single" w:sz="12" w:space="0" w:color="000000"/>
              <w:end w:val="single" w:sz="6" w:space="0" w:color="000000"/>
            </w:tcBorders>
          </w:tcPr>
          <w:p>
            <w:pPr>
              <w:pStyle w:val="Normal"/>
              <w:jc w:val="center"/>
              <w:rPr>
                <w:b/>
                <w:sz w:val="16"/>
              </w:rPr>
            </w:pPr>
            <w:r>
              <w:rPr>
                <w:b/>
                <w:sz w:val="16"/>
              </w:rPr>
              <w:t>1999</w:t>
            </w:r>
          </w:p>
        </w:tc>
        <w:tc>
          <w:tcPr>
            <w:tcW w:w="1082" w:type="dxa"/>
            <w:tcBorders>
              <w:start w:val="single" w:sz="6" w:space="0" w:color="000000"/>
            </w:tcBorders>
          </w:tcPr>
          <w:p>
            <w:pPr>
              <w:pStyle w:val="Normal"/>
              <w:jc w:val="center"/>
              <w:rPr>
                <w:sz w:val="18"/>
              </w:rPr>
            </w:pPr>
            <w:r>
              <w:rPr>
                <w:sz w:val="18"/>
              </w:rPr>
              <w:t>0.8</w:t>
            </w:r>
          </w:p>
        </w:tc>
        <w:tc>
          <w:tcPr>
            <w:tcW w:w="1165" w:type="dxa"/>
            <w:tcBorders/>
          </w:tcPr>
          <w:p>
            <w:pPr>
              <w:pStyle w:val="Normal"/>
              <w:jc w:val="center"/>
              <w:rPr>
                <w:sz w:val="18"/>
              </w:rPr>
            </w:pPr>
            <w:r>
              <w:rPr>
                <w:sz w:val="18"/>
              </w:rPr>
              <w:t>9.7</w:t>
            </w:r>
          </w:p>
        </w:tc>
        <w:tc>
          <w:tcPr>
            <w:tcW w:w="1104" w:type="dxa"/>
            <w:tcBorders/>
          </w:tcPr>
          <w:p>
            <w:pPr>
              <w:pStyle w:val="Normal"/>
              <w:jc w:val="center"/>
              <w:rPr>
                <w:sz w:val="18"/>
              </w:rPr>
            </w:pPr>
            <w:r>
              <w:rPr>
                <w:sz w:val="18"/>
              </w:rPr>
              <w:t>-1.6</w:t>
            </w:r>
          </w:p>
        </w:tc>
        <w:tc>
          <w:tcPr>
            <w:tcW w:w="1008" w:type="dxa"/>
            <w:tcBorders/>
          </w:tcPr>
          <w:p>
            <w:pPr>
              <w:pStyle w:val="Normal"/>
              <w:jc w:val="center"/>
              <w:rPr>
                <w:sz w:val="18"/>
              </w:rPr>
            </w:pPr>
            <w:r>
              <w:rPr>
                <w:sz w:val="18"/>
              </w:rPr>
              <w:t>1.1</w:t>
            </w:r>
          </w:p>
        </w:tc>
        <w:tc>
          <w:tcPr>
            <w:tcW w:w="1272" w:type="dxa"/>
            <w:gridSpan w:val="2"/>
            <w:tcBorders/>
          </w:tcPr>
          <w:p>
            <w:pPr>
              <w:pStyle w:val="Normal"/>
              <w:jc w:val="center"/>
              <w:rPr>
                <w:sz w:val="18"/>
              </w:rPr>
            </w:pPr>
            <w:r>
              <w:rPr>
                <w:sz w:val="18"/>
              </w:rPr>
              <w:t>16.1</w:t>
            </w:r>
          </w:p>
        </w:tc>
        <w:tc>
          <w:tcPr>
            <w:tcW w:w="1548" w:type="dxa"/>
            <w:tcBorders/>
          </w:tcPr>
          <w:p>
            <w:pPr>
              <w:pStyle w:val="Normal"/>
              <w:jc w:val="center"/>
              <w:rPr>
                <w:sz w:val="18"/>
              </w:rPr>
            </w:pPr>
            <w:r>
              <w:rPr>
                <w:sz w:val="18"/>
              </w:rPr>
              <w:t>8.2</w:t>
            </w:r>
          </w:p>
        </w:tc>
        <w:tc>
          <w:tcPr>
            <w:tcW w:w="1432" w:type="dxa"/>
            <w:tcBorders>
              <w:end w:val="single" w:sz="12" w:space="0" w:color="000000"/>
            </w:tcBorders>
          </w:tcPr>
          <w:p>
            <w:pPr>
              <w:pStyle w:val="Normal"/>
              <w:jc w:val="center"/>
              <w:rPr>
                <w:sz w:val="18"/>
              </w:rPr>
            </w:pPr>
            <w:r>
              <w:rPr>
                <w:sz w:val="18"/>
              </w:rPr>
              <w:t>80</w:t>
            </w:r>
          </w:p>
        </w:tc>
      </w:tr>
      <w:tr>
        <w:trPr/>
        <w:tc>
          <w:tcPr>
            <w:tcW w:w="589" w:type="dxa"/>
            <w:tcBorders>
              <w:start w:val="single" w:sz="12" w:space="0" w:color="000000"/>
              <w:bottom w:val="single" w:sz="12" w:space="0" w:color="000000"/>
              <w:end w:val="single" w:sz="6" w:space="0" w:color="000000"/>
            </w:tcBorders>
          </w:tcPr>
          <w:p>
            <w:pPr>
              <w:pStyle w:val="Normal"/>
              <w:jc w:val="center"/>
              <w:rPr>
                <w:b/>
                <w:sz w:val="16"/>
              </w:rPr>
            </w:pPr>
            <w:r>
              <w:rPr>
                <w:b/>
                <w:sz w:val="16"/>
              </w:rPr>
              <w:t>2000</w:t>
            </w:r>
          </w:p>
        </w:tc>
        <w:tc>
          <w:tcPr>
            <w:tcW w:w="1082" w:type="dxa"/>
            <w:tcBorders>
              <w:start w:val="single" w:sz="6" w:space="0" w:color="000000"/>
              <w:bottom w:val="single" w:sz="12" w:space="0" w:color="000000"/>
            </w:tcBorders>
          </w:tcPr>
          <w:p>
            <w:pPr>
              <w:pStyle w:val="Normal"/>
              <w:jc w:val="center"/>
              <w:rPr>
                <w:sz w:val="18"/>
              </w:rPr>
            </w:pPr>
            <w:r>
              <w:rPr>
                <w:sz w:val="18"/>
              </w:rPr>
              <w:t>3.6</w:t>
            </w:r>
          </w:p>
        </w:tc>
        <w:tc>
          <w:tcPr>
            <w:tcW w:w="1165" w:type="dxa"/>
            <w:tcBorders>
              <w:bottom w:val="single" w:sz="12" w:space="0" w:color="000000"/>
            </w:tcBorders>
          </w:tcPr>
          <w:p>
            <w:pPr>
              <w:pStyle w:val="Normal"/>
              <w:jc w:val="center"/>
              <w:rPr>
                <w:sz w:val="18"/>
              </w:rPr>
            </w:pPr>
            <w:r>
              <w:rPr>
                <w:sz w:val="18"/>
              </w:rPr>
              <w:t>1.5</w:t>
            </w:r>
          </w:p>
        </w:tc>
        <w:tc>
          <w:tcPr>
            <w:tcW w:w="1104" w:type="dxa"/>
            <w:tcBorders>
              <w:bottom w:val="single" w:sz="12" w:space="0" w:color="000000"/>
            </w:tcBorders>
          </w:tcPr>
          <w:p>
            <w:pPr>
              <w:pStyle w:val="Normal"/>
              <w:jc w:val="center"/>
              <w:rPr>
                <w:sz w:val="18"/>
              </w:rPr>
            </w:pPr>
            <w:r>
              <w:rPr>
                <w:sz w:val="18"/>
              </w:rPr>
              <w:t>5.4</w:t>
            </w:r>
          </w:p>
        </w:tc>
        <w:tc>
          <w:tcPr>
            <w:tcW w:w="1008" w:type="dxa"/>
            <w:tcBorders>
              <w:bottom w:val="single" w:sz="12" w:space="0" w:color="000000"/>
            </w:tcBorders>
          </w:tcPr>
          <w:p>
            <w:pPr>
              <w:pStyle w:val="Normal"/>
              <w:jc w:val="center"/>
              <w:rPr>
                <w:sz w:val="18"/>
              </w:rPr>
            </w:pPr>
            <w:r>
              <w:rPr>
                <w:sz w:val="18"/>
              </w:rPr>
              <w:t>3.1</w:t>
            </w:r>
          </w:p>
        </w:tc>
        <w:tc>
          <w:tcPr>
            <w:tcW w:w="1272" w:type="dxa"/>
            <w:gridSpan w:val="2"/>
            <w:tcBorders>
              <w:bottom w:val="single" w:sz="12" w:space="0" w:color="000000"/>
            </w:tcBorders>
          </w:tcPr>
          <w:p>
            <w:pPr>
              <w:pStyle w:val="Normal"/>
              <w:jc w:val="center"/>
              <w:rPr>
                <w:sz w:val="18"/>
              </w:rPr>
            </w:pPr>
            <w:r>
              <w:rPr>
                <w:sz w:val="18"/>
              </w:rPr>
              <w:t>17.0</w:t>
            </w:r>
          </w:p>
        </w:tc>
        <w:tc>
          <w:tcPr>
            <w:tcW w:w="1548" w:type="dxa"/>
            <w:tcBorders>
              <w:bottom w:val="single" w:sz="12" w:space="0" w:color="000000"/>
            </w:tcBorders>
          </w:tcPr>
          <w:p>
            <w:pPr>
              <w:pStyle w:val="Normal"/>
              <w:jc w:val="center"/>
              <w:rPr>
                <w:sz w:val="18"/>
              </w:rPr>
            </w:pPr>
            <w:r>
              <w:rPr>
                <w:sz w:val="18"/>
              </w:rPr>
              <w:t>7.7</w:t>
            </w:r>
          </w:p>
        </w:tc>
        <w:tc>
          <w:tcPr>
            <w:tcW w:w="1432" w:type="dxa"/>
            <w:tcBorders>
              <w:bottom w:val="single" w:sz="12" w:space="0" w:color="000000"/>
              <w:end w:val="single" w:sz="12" w:space="0" w:color="000000"/>
            </w:tcBorders>
          </w:tcPr>
          <w:p>
            <w:pPr>
              <w:pStyle w:val="Normal"/>
              <w:jc w:val="center"/>
              <w:rPr>
                <w:sz w:val="18"/>
              </w:rPr>
            </w:pPr>
            <w:r>
              <w:rPr>
                <w:sz w:val="18"/>
              </w:rPr>
              <w:t>83</w:t>
            </w:r>
          </w:p>
        </w:tc>
      </w:tr>
    </w:tbl>
    <w:p>
      <w:pPr>
        <w:pStyle w:val="Normal"/>
        <w:rPr/>
      </w:pPr>
      <w:r>
        <w:rPr/>
        <w:t xml:space="preserve">  </w:t>
      </w:r>
    </w:p>
    <w:tbl>
      <w:tblPr>
        <w:tblW w:w="9192" w:type="dxa"/>
        <w:jc w:val="start"/>
        <w:tblInd w:w="0" w:type="dxa"/>
        <w:tblLayout w:type="fixed"/>
        <w:tblCellMar>
          <w:top w:w="0" w:type="dxa"/>
          <w:start w:w="113" w:type="dxa"/>
          <w:bottom w:w="0" w:type="dxa"/>
          <w:end w:w="113" w:type="dxa"/>
        </w:tblCellMar>
      </w:tblPr>
      <w:tblGrid>
        <w:gridCol w:w="866"/>
        <w:gridCol w:w="1213"/>
        <w:gridCol w:w="10"/>
        <w:gridCol w:w="1203"/>
        <w:gridCol w:w="1"/>
        <w:gridCol w:w="9"/>
        <w:gridCol w:w="1203"/>
        <w:gridCol w:w="1"/>
        <w:gridCol w:w="2"/>
        <w:gridCol w:w="7"/>
        <w:gridCol w:w="1265"/>
        <w:gridCol w:w="1"/>
        <w:gridCol w:w="9"/>
        <w:gridCol w:w="1266"/>
        <w:gridCol w:w="1"/>
        <w:gridCol w:w="23"/>
        <w:gridCol w:w="1113"/>
        <w:gridCol w:w="7"/>
        <w:gridCol w:w="982"/>
        <w:gridCol w:w="1"/>
        <w:gridCol w:w="2"/>
        <w:gridCol w:w="7"/>
      </w:tblGrid>
      <w:tr>
        <w:trPr/>
        <w:tc>
          <w:tcPr>
            <w:tcW w:w="4508" w:type="dxa"/>
            <w:gridSpan w:val="9"/>
            <w:tcBorders>
              <w:top w:val="single" w:sz="12" w:space="0" w:color="000000"/>
              <w:start w:val="single" w:sz="12" w:space="0" w:color="000000"/>
              <w:bottom w:val="single" w:sz="6" w:space="0" w:color="000000"/>
              <w:end w:val="single" w:sz="6" w:space="0" w:color="000000"/>
            </w:tcBorders>
          </w:tcPr>
          <w:p>
            <w:pPr>
              <w:pStyle w:val="Normal"/>
              <w:jc w:val="center"/>
              <w:rPr>
                <w:b/>
                <w:sz w:val="32"/>
              </w:rPr>
            </w:pPr>
            <w:r>
              <w:rPr>
                <w:b/>
                <w:sz w:val="32"/>
              </w:rPr>
              <w:t>PUBLIC SECTOR</w:t>
            </w:r>
          </w:p>
        </w:tc>
        <w:tc>
          <w:tcPr>
            <w:tcW w:w="4677" w:type="dxa"/>
            <w:gridSpan w:val="10"/>
            <w:tcBorders>
              <w:top w:val="single" w:sz="12" w:space="0" w:color="000000"/>
              <w:start w:val="single" w:sz="6" w:space="0" w:color="000000"/>
              <w:end w:val="single" w:sz="12" w:space="0" w:color="000000"/>
            </w:tcBorders>
          </w:tcPr>
          <w:p>
            <w:pPr>
              <w:pStyle w:val="Normal"/>
              <w:jc w:val="center"/>
              <w:rPr>
                <w:b/>
                <w:sz w:val="32"/>
              </w:rPr>
            </w:pPr>
            <w:r>
              <w:rPr>
                <w:b/>
                <w:sz w:val="32"/>
              </w:rPr>
              <w:t>EXTERNAL SECTOR</w:t>
            </w:r>
          </w:p>
        </w:tc>
      </w:tr>
      <w:tr>
        <w:trPr>
          <w:trHeight w:val="240" w:hRule="atLeast"/>
        </w:trPr>
        <w:tc>
          <w:tcPr>
            <w:tcW w:w="866"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sz w:val="16"/>
              </w:rPr>
            </w:pPr>
            <w:r>
              <w:rPr>
                <w:b/>
                <w:sz w:val="16"/>
              </w:rPr>
            </w:r>
          </w:p>
        </w:tc>
        <w:tc>
          <w:tcPr>
            <w:tcW w:w="2427" w:type="dxa"/>
            <w:gridSpan w:val="4"/>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Budget Balance</w:t>
            </w:r>
          </w:p>
        </w:tc>
        <w:tc>
          <w:tcPr>
            <w:tcW w:w="1213" w:type="dxa"/>
            <w:gridSpan w:val="3"/>
            <w:tcBorders>
              <w:top w:val="single" w:sz="6" w:space="0" w:color="000000"/>
              <w:start w:val="single" w:sz="6" w:space="0" w:color="000000"/>
            </w:tcBorders>
          </w:tcPr>
          <w:p>
            <w:pPr>
              <w:pStyle w:val="Normal"/>
              <w:jc w:val="center"/>
              <w:rPr>
                <w:b/>
                <w:sz w:val="18"/>
              </w:rPr>
            </w:pPr>
            <w:r>
              <w:rPr>
                <w:b/>
                <w:sz w:val="18"/>
              </w:rPr>
              <w:t>Federal</w:t>
            </w:r>
          </w:p>
        </w:tc>
        <w:tc>
          <w:tcPr>
            <w:tcW w:w="1275" w:type="dxa"/>
            <w:gridSpan w:val="4"/>
            <w:tcBorders>
              <w:top w:val="single" w:sz="4" w:space="0" w:color="000000"/>
              <w:start w:val="single" w:sz="4" w:space="0" w:color="000000"/>
            </w:tcBorders>
          </w:tcPr>
          <w:p>
            <w:pPr>
              <w:pStyle w:val="Normal"/>
              <w:snapToGrid w:val="false"/>
              <w:jc w:val="center"/>
              <w:rPr>
                <w:b/>
                <w:sz w:val="18"/>
              </w:rPr>
            </w:pPr>
            <w:r>
              <w:rPr>
                <w:b/>
                <w:sz w:val="18"/>
              </w:rPr>
            </w:r>
          </w:p>
        </w:tc>
        <w:tc>
          <w:tcPr>
            <w:tcW w:w="1276" w:type="dxa"/>
            <w:gridSpan w:val="3"/>
            <w:tcBorders>
              <w:top w:val="single" w:sz="4" w:space="0" w:color="000000"/>
              <w:start w:val="single" w:sz="4" w:space="0" w:color="000000"/>
              <w:end w:val="single" w:sz="4" w:space="0" w:color="000000"/>
            </w:tcBorders>
          </w:tcPr>
          <w:p>
            <w:pPr>
              <w:pStyle w:val="Normal"/>
              <w:snapToGrid w:val="false"/>
              <w:jc w:val="center"/>
              <w:rPr>
                <w:b/>
                <w:sz w:val="18"/>
              </w:rPr>
            </w:pPr>
            <w:r>
              <w:rPr>
                <w:b/>
                <w:sz w:val="18"/>
              </w:rPr>
            </w:r>
          </w:p>
        </w:tc>
        <w:tc>
          <w:tcPr>
            <w:tcW w:w="1136" w:type="dxa"/>
            <w:gridSpan w:val="2"/>
            <w:tcBorders>
              <w:top w:val="single" w:sz="4" w:space="0" w:color="000000"/>
            </w:tcBorders>
          </w:tcPr>
          <w:p>
            <w:pPr>
              <w:pStyle w:val="Normal"/>
              <w:snapToGrid w:val="false"/>
              <w:jc w:val="center"/>
              <w:rPr>
                <w:b/>
                <w:sz w:val="18"/>
              </w:rPr>
            </w:pPr>
            <w:r>
              <w:rPr>
                <w:b/>
                <w:sz w:val="18"/>
              </w:rPr>
            </w:r>
          </w:p>
        </w:tc>
        <w:tc>
          <w:tcPr>
            <w:tcW w:w="990" w:type="dxa"/>
            <w:gridSpan w:val="2"/>
            <w:tcBorders>
              <w:top w:val="single" w:sz="4" w:space="0" w:color="000000"/>
              <w:start w:val="single" w:sz="4" w:space="0" w:color="000000"/>
              <w:end w:val="single" w:sz="12" w:space="0" w:color="000000"/>
            </w:tcBorders>
          </w:tcPr>
          <w:p>
            <w:pPr>
              <w:pStyle w:val="Normal"/>
              <w:snapToGrid w:val="false"/>
              <w:jc w:val="center"/>
              <w:rPr>
                <w:b/>
                <w:sz w:val="18"/>
              </w:rPr>
            </w:pPr>
            <w:r>
              <w:rPr>
                <w:b/>
                <w:sz w:val="18"/>
              </w:rPr>
            </w:r>
          </w:p>
        </w:tc>
      </w:tr>
      <w:tr>
        <w:trPr/>
        <w:tc>
          <w:tcPr>
            <w:tcW w:w="866"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sz w:val="16"/>
              </w:rPr>
            </w:pPr>
            <w:r>
              <w:rPr>
                <w:b/>
                <w:sz w:val="16"/>
              </w:rPr>
            </w:r>
          </w:p>
        </w:tc>
        <w:tc>
          <w:tcPr>
            <w:tcW w:w="1213" w:type="dxa"/>
            <w:tcBorders>
              <w:start w:val="single" w:sz="6"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Primary</w:t>
            </w:r>
          </w:p>
        </w:tc>
        <w:tc>
          <w:tcPr>
            <w:tcW w:w="1213" w:type="dxa"/>
            <w:gridSpan w:val="2"/>
            <w:tcBorders>
              <w:start w:val="single" w:sz="6"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Nominal</w:t>
            </w:r>
          </w:p>
        </w:tc>
        <w:tc>
          <w:tcPr>
            <w:tcW w:w="1213" w:type="dxa"/>
            <w:gridSpan w:val="3"/>
            <w:tcBorders>
              <w:start w:val="single" w:sz="6" w:space="0" w:color="000000"/>
            </w:tcBorders>
          </w:tcPr>
          <w:p>
            <w:pPr>
              <w:pStyle w:val="Normal"/>
              <w:jc w:val="center"/>
              <w:rPr>
                <w:b/>
                <w:sz w:val="18"/>
              </w:rPr>
            </w:pPr>
            <w:r>
              <w:rPr>
                <w:b/>
                <w:sz w:val="18"/>
              </w:rPr>
              <w:t>Treasury Revenues</w:t>
            </w:r>
          </w:p>
        </w:tc>
        <w:tc>
          <w:tcPr>
            <w:tcW w:w="1275" w:type="dxa"/>
            <w:gridSpan w:val="4"/>
            <w:tcBorders>
              <w:start w:val="single" w:sz="4" w:space="0" w:color="000000"/>
              <w:bottom w:val="single" w:sz="4"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Exports</w:t>
            </w:r>
          </w:p>
        </w:tc>
        <w:tc>
          <w:tcPr>
            <w:tcW w:w="1276" w:type="dxa"/>
            <w:gridSpan w:val="3"/>
            <w:tcBorders>
              <w:bottom w:val="single" w:sz="4" w:space="0" w:color="000000"/>
            </w:tcBorders>
          </w:tcPr>
          <w:p>
            <w:pPr>
              <w:pStyle w:val="Normal"/>
              <w:snapToGrid w:val="false"/>
              <w:jc w:val="center"/>
              <w:rPr>
                <w:b/>
                <w:sz w:val="18"/>
              </w:rPr>
            </w:pPr>
            <w:r>
              <w:rPr>
                <w:b/>
                <w:sz w:val="18"/>
              </w:rPr>
            </w:r>
          </w:p>
          <w:p>
            <w:pPr>
              <w:pStyle w:val="Normal"/>
              <w:jc w:val="center"/>
              <w:rPr>
                <w:b/>
                <w:sz w:val="18"/>
              </w:rPr>
            </w:pPr>
            <w:r>
              <w:rPr>
                <w:b/>
                <w:sz w:val="18"/>
              </w:rPr>
              <w:t>Imports</w:t>
            </w:r>
          </w:p>
        </w:tc>
        <w:tc>
          <w:tcPr>
            <w:tcW w:w="1137" w:type="dxa"/>
            <w:gridSpan w:val="3"/>
            <w:tcBorders>
              <w:start w:val="single" w:sz="4" w:space="0" w:color="000000"/>
              <w:bottom w:val="single" w:sz="4" w:space="0" w:color="000000"/>
            </w:tcBorders>
          </w:tcPr>
          <w:p>
            <w:pPr>
              <w:pStyle w:val="Heading2"/>
              <w:ind w:hanging="0" w:start="0"/>
              <w:rPr>
                <w:color w:val="auto"/>
              </w:rPr>
            </w:pPr>
            <w:r>
              <w:rPr>
                <w:color w:val="auto"/>
              </w:rPr>
              <w:t>Trade</w:t>
            </w:r>
          </w:p>
          <w:p>
            <w:pPr>
              <w:pStyle w:val="Normal"/>
              <w:jc w:val="center"/>
              <w:rPr>
                <w:b/>
                <w:sz w:val="18"/>
              </w:rPr>
            </w:pPr>
            <w:r>
              <w:rPr>
                <w:b/>
                <w:sz w:val="18"/>
              </w:rPr>
              <w:t>Balance</w:t>
            </w:r>
          </w:p>
        </w:tc>
        <w:tc>
          <w:tcPr>
            <w:tcW w:w="989" w:type="dxa"/>
            <w:gridSpan w:val="2"/>
            <w:tcBorders>
              <w:start w:val="single" w:sz="4" w:space="0" w:color="000000"/>
              <w:bottom w:val="single" w:sz="4" w:space="0" w:color="000000"/>
              <w:end w:val="single" w:sz="12" w:space="0" w:color="000000"/>
            </w:tcBorders>
          </w:tcPr>
          <w:p>
            <w:pPr>
              <w:pStyle w:val="Normal"/>
              <w:jc w:val="center"/>
              <w:rPr>
                <w:b/>
                <w:sz w:val="18"/>
              </w:rPr>
            </w:pPr>
            <w:r>
              <w:rPr>
                <w:b/>
                <w:sz w:val="18"/>
              </w:rPr>
              <w:t>Current</w:t>
            </w:r>
          </w:p>
          <w:p>
            <w:pPr>
              <w:pStyle w:val="Normal"/>
              <w:jc w:val="center"/>
              <w:rPr>
                <w:b/>
                <w:sz w:val="18"/>
              </w:rPr>
            </w:pPr>
            <w:r>
              <w:rPr>
                <w:b/>
                <w:sz w:val="18"/>
              </w:rPr>
              <w:t>Account</w:t>
            </w:r>
          </w:p>
        </w:tc>
      </w:tr>
      <w:tr>
        <w:trPr>
          <w:trHeight w:val="240" w:hRule="exact"/>
        </w:trPr>
        <w:tc>
          <w:tcPr>
            <w:tcW w:w="866" w:type="dxa"/>
            <w:tcBorders>
              <w:top w:val="single" w:sz="6" w:space="0" w:color="000000"/>
              <w:start w:val="single" w:sz="12" w:space="0" w:color="000000"/>
              <w:end w:val="single" w:sz="6" w:space="0" w:color="000000"/>
            </w:tcBorders>
          </w:tcPr>
          <w:p>
            <w:pPr>
              <w:pStyle w:val="Normal"/>
              <w:snapToGrid w:val="false"/>
              <w:jc w:val="center"/>
              <w:rPr>
                <w:b/>
                <w:sz w:val="16"/>
              </w:rPr>
            </w:pPr>
            <w:r>
              <w:rPr>
                <w:b/>
                <w:sz w:val="16"/>
              </w:rPr>
            </w:r>
          </w:p>
        </w:tc>
        <w:tc>
          <w:tcPr>
            <w:tcW w:w="2427" w:type="dxa"/>
            <w:gridSpan w:val="4"/>
            <w:tcBorders>
              <w:top w:val="single" w:sz="6" w:space="0" w:color="000000"/>
              <w:start w:val="single" w:sz="6" w:space="0" w:color="000000"/>
              <w:bottom w:val="single" w:sz="6" w:space="0" w:color="000000"/>
            </w:tcBorders>
          </w:tcPr>
          <w:p>
            <w:pPr>
              <w:pStyle w:val="Normal"/>
              <w:jc w:val="center"/>
              <w:rPr>
                <w:b/>
                <w:sz w:val="16"/>
              </w:rPr>
            </w:pPr>
            <w:r>
              <w:rPr>
                <w:b/>
                <w:sz w:val="16"/>
              </w:rPr>
              <w:t>As % of GDP</w:t>
            </w:r>
          </w:p>
        </w:tc>
        <w:tc>
          <w:tcPr>
            <w:tcW w:w="1213" w:type="dxa"/>
            <w:gridSpan w:val="3"/>
            <w:tcBorders>
              <w:top w:val="single" w:sz="6" w:space="0" w:color="000000"/>
              <w:start w:val="single" w:sz="6" w:space="0" w:color="000000"/>
              <w:bottom w:val="single" w:sz="6" w:space="0" w:color="000000"/>
            </w:tcBorders>
          </w:tcPr>
          <w:p>
            <w:pPr>
              <w:pStyle w:val="Heading3"/>
              <w:ind w:hanging="0" w:start="0"/>
              <w:rPr/>
            </w:pPr>
            <w:r>
              <w:rPr/>
              <w:t>R$ Bil. - Dec.98</w:t>
            </w:r>
          </w:p>
        </w:tc>
        <w:tc>
          <w:tcPr>
            <w:tcW w:w="3687" w:type="dxa"/>
            <w:gridSpan w:val="9"/>
            <w:tcBorders>
              <w:start w:val="single" w:sz="6" w:space="0" w:color="000000"/>
              <w:bottom w:val="single" w:sz="6" w:space="0" w:color="000000"/>
            </w:tcBorders>
          </w:tcPr>
          <w:p>
            <w:pPr>
              <w:pStyle w:val="Normal"/>
              <w:jc w:val="center"/>
              <w:rPr>
                <w:b/>
                <w:sz w:val="18"/>
              </w:rPr>
            </w:pPr>
            <w:r>
              <w:rPr>
                <w:b/>
                <w:sz w:val="16"/>
              </w:rPr>
              <w:t>US$ Billion</w:t>
            </w:r>
          </w:p>
        </w:tc>
        <w:tc>
          <w:tcPr>
            <w:tcW w:w="990" w:type="dxa"/>
            <w:gridSpan w:val="2"/>
            <w:tcBorders>
              <w:start w:val="single" w:sz="4" w:space="0" w:color="000000"/>
              <w:bottom w:val="single" w:sz="4" w:space="0" w:color="000000"/>
              <w:end w:val="single" w:sz="12" w:space="0" w:color="000000"/>
            </w:tcBorders>
          </w:tcPr>
          <w:p>
            <w:pPr>
              <w:pStyle w:val="Normal"/>
              <w:jc w:val="center"/>
              <w:rPr>
                <w:b/>
                <w:sz w:val="18"/>
              </w:rPr>
            </w:pPr>
            <w:r>
              <w:rPr>
                <w:b/>
                <w:sz w:val="18"/>
              </w:rPr>
              <w:t>% GDP</w:t>
            </w:r>
          </w:p>
        </w:tc>
      </w:tr>
      <w:tr>
        <w:trPr/>
        <w:tc>
          <w:tcPr>
            <w:tcW w:w="866" w:type="dxa"/>
            <w:tcBorders>
              <w:start w:val="single" w:sz="12" w:space="0" w:color="000000"/>
              <w:end w:val="single" w:sz="6" w:space="0" w:color="000000"/>
            </w:tcBorders>
          </w:tcPr>
          <w:p>
            <w:pPr>
              <w:pStyle w:val="Normal"/>
              <w:jc w:val="center"/>
              <w:rPr>
                <w:b/>
                <w:sz w:val="16"/>
              </w:rPr>
            </w:pPr>
            <w:r>
              <w:rPr>
                <w:b/>
                <w:sz w:val="16"/>
              </w:rPr>
              <w:t>1993</w:t>
            </w:r>
          </w:p>
        </w:tc>
        <w:tc>
          <w:tcPr>
            <w:tcW w:w="1223" w:type="dxa"/>
            <w:gridSpan w:val="2"/>
            <w:tcBorders>
              <w:start w:val="single" w:sz="6" w:space="0" w:color="000000"/>
            </w:tcBorders>
          </w:tcPr>
          <w:p>
            <w:pPr>
              <w:pStyle w:val="Normal"/>
              <w:jc w:val="center"/>
              <w:rPr>
                <w:sz w:val="18"/>
              </w:rPr>
            </w:pPr>
            <w:r>
              <w:rPr>
                <w:sz w:val="18"/>
              </w:rPr>
              <w:t>2.7</w:t>
            </w:r>
          </w:p>
        </w:tc>
        <w:tc>
          <w:tcPr>
            <w:tcW w:w="1213" w:type="dxa"/>
            <w:gridSpan w:val="3"/>
            <w:tcBorders/>
          </w:tcPr>
          <w:p>
            <w:pPr>
              <w:pStyle w:val="Normal"/>
              <w:jc w:val="center"/>
              <w:rPr>
                <w:sz w:val="18"/>
              </w:rPr>
            </w:pPr>
            <w:r>
              <w:rPr>
                <w:sz w:val="18"/>
              </w:rPr>
              <w:t>-58.2</w:t>
            </w:r>
          </w:p>
        </w:tc>
        <w:tc>
          <w:tcPr>
            <w:tcW w:w="1213" w:type="dxa"/>
            <w:gridSpan w:val="4"/>
            <w:tcBorders/>
          </w:tcPr>
          <w:p>
            <w:pPr>
              <w:pStyle w:val="Normal"/>
              <w:jc w:val="center"/>
              <w:rPr>
                <w:sz w:val="18"/>
              </w:rPr>
            </w:pPr>
            <w:r>
              <w:rPr>
                <w:sz w:val="18"/>
              </w:rPr>
              <w:t>69.3</w:t>
            </w:r>
          </w:p>
        </w:tc>
        <w:tc>
          <w:tcPr>
            <w:tcW w:w="1275" w:type="dxa"/>
            <w:gridSpan w:val="3"/>
            <w:tcBorders/>
          </w:tcPr>
          <w:p>
            <w:pPr>
              <w:pStyle w:val="Normal"/>
              <w:jc w:val="center"/>
              <w:rPr>
                <w:sz w:val="18"/>
              </w:rPr>
            </w:pPr>
            <w:r>
              <w:rPr>
                <w:sz w:val="18"/>
              </w:rPr>
              <w:t>38.5</w:t>
            </w:r>
          </w:p>
        </w:tc>
        <w:tc>
          <w:tcPr>
            <w:tcW w:w="1290" w:type="dxa"/>
            <w:gridSpan w:val="3"/>
            <w:tcBorders/>
          </w:tcPr>
          <w:p>
            <w:pPr>
              <w:pStyle w:val="Normal"/>
              <w:jc w:val="center"/>
              <w:rPr>
                <w:sz w:val="18"/>
              </w:rPr>
            </w:pPr>
            <w:r>
              <w:rPr>
                <w:sz w:val="18"/>
              </w:rPr>
              <w:t>25.6</w:t>
            </w:r>
          </w:p>
        </w:tc>
        <w:tc>
          <w:tcPr>
            <w:tcW w:w="1120" w:type="dxa"/>
            <w:gridSpan w:val="2"/>
            <w:tcBorders/>
          </w:tcPr>
          <w:p>
            <w:pPr>
              <w:pStyle w:val="Normal"/>
              <w:jc w:val="center"/>
              <w:rPr>
                <w:sz w:val="18"/>
              </w:rPr>
            </w:pPr>
            <w:r>
              <w:rPr>
                <w:sz w:val="18"/>
              </w:rPr>
              <w:t>13.2</w:t>
            </w:r>
          </w:p>
        </w:tc>
        <w:tc>
          <w:tcPr>
            <w:tcW w:w="992" w:type="dxa"/>
            <w:tcBorders>
              <w:end w:val="single" w:sz="12" w:space="0" w:color="000000"/>
            </w:tcBorders>
          </w:tcPr>
          <w:p>
            <w:pPr>
              <w:pStyle w:val="Normal"/>
              <w:jc w:val="center"/>
              <w:rPr>
                <w:sz w:val="18"/>
              </w:rPr>
            </w:pPr>
            <w:r>
              <w:rPr>
                <w:sz w:val="18"/>
              </w:rPr>
              <w:t>0.6</w:t>
            </w:r>
          </w:p>
        </w:tc>
      </w:tr>
      <w:tr>
        <w:trPr/>
        <w:tc>
          <w:tcPr>
            <w:tcW w:w="866" w:type="dxa"/>
            <w:tcBorders>
              <w:start w:val="single" w:sz="12" w:space="0" w:color="000000"/>
              <w:end w:val="single" w:sz="6" w:space="0" w:color="000000"/>
            </w:tcBorders>
          </w:tcPr>
          <w:p>
            <w:pPr>
              <w:pStyle w:val="Normal"/>
              <w:jc w:val="center"/>
              <w:rPr>
                <w:b/>
                <w:sz w:val="16"/>
              </w:rPr>
            </w:pPr>
            <w:r>
              <w:rPr>
                <w:b/>
                <w:sz w:val="16"/>
              </w:rPr>
              <w:t>1994</w:t>
            </w:r>
          </w:p>
        </w:tc>
        <w:tc>
          <w:tcPr>
            <w:tcW w:w="1223" w:type="dxa"/>
            <w:gridSpan w:val="2"/>
            <w:tcBorders>
              <w:start w:val="single" w:sz="6" w:space="0" w:color="000000"/>
            </w:tcBorders>
          </w:tcPr>
          <w:p>
            <w:pPr>
              <w:pStyle w:val="Normal"/>
              <w:jc w:val="center"/>
              <w:rPr>
                <w:sz w:val="18"/>
              </w:rPr>
            </w:pPr>
            <w:r>
              <w:rPr>
                <w:sz w:val="18"/>
              </w:rPr>
              <w:t>5.3</w:t>
            </w:r>
          </w:p>
        </w:tc>
        <w:tc>
          <w:tcPr>
            <w:tcW w:w="1213" w:type="dxa"/>
            <w:gridSpan w:val="3"/>
            <w:tcBorders/>
          </w:tcPr>
          <w:p>
            <w:pPr>
              <w:pStyle w:val="Normal"/>
              <w:jc w:val="center"/>
              <w:rPr>
                <w:sz w:val="18"/>
              </w:rPr>
            </w:pPr>
            <w:r>
              <w:rPr>
                <w:sz w:val="18"/>
              </w:rPr>
              <w:t>-45.2</w:t>
            </w:r>
          </w:p>
        </w:tc>
        <w:tc>
          <w:tcPr>
            <w:tcW w:w="1213" w:type="dxa"/>
            <w:gridSpan w:val="4"/>
            <w:tcBorders/>
          </w:tcPr>
          <w:p>
            <w:pPr>
              <w:pStyle w:val="Normal"/>
              <w:jc w:val="center"/>
              <w:rPr>
                <w:sz w:val="18"/>
              </w:rPr>
            </w:pPr>
            <w:r>
              <w:rPr>
                <w:sz w:val="18"/>
              </w:rPr>
              <w:t>92.8</w:t>
            </w:r>
          </w:p>
        </w:tc>
        <w:tc>
          <w:tcPr>
            <w:tcW w:w="1275" w:type="dxa"/>
            <w:gridSpan w:val="3"/>
            <w:tcBorders/>
          </w:tcPr>
          <w:p>
            <w:pPr>
              <w:pStyle w:val="Normal"/>
              <w:jc w:val="center"/>
              <w:rPr>
                <w:sz w:val="18"/>
              </w:rPr>
            </w:pPr>
            <w:r>
              <w:rPr>
                <w:sz w:val="18"/>
              </w:rPr>
              <w:t>43.6</w:t>
            </w:r>
          </w:p>
        </w:tc>
        <w:tc>
          <w:tcPr>
            <w:tcW w:w="1290" w:type="dxa"/>
            <w:gridSpan w:val="3"/>
            <w:tcBorders/>
          </w:tcPr>
          <w:p>
            <w:pPr>
              <w:pStyle w:val="Normal"/>
              <w:jc w:val="center"/>
              <w:rPr>
                <w:sz w:val="18"/>
              </w:rPr>
            </w:pPr>
            <w:r>
              <w:rPr>
                <w:sz w:val="18"/>
              </w:rPr>
              <w:t>33.2</w:t>
            </w:r>
          </w:p>
        </w:tc>
        <w:tc>
          <w:tcPr>
            <w:tcW w:w="1120" w:type="dxa"/>
            <w:gridSpan w:val="2"/>
            <w:tcBorders/>
          </w:tcPr>
          <w:p>
            <w:pPr>
              <w:pStyle w:val="Normal"/>
              <w:jc w:val="center"/>
              <w:rPr>
                <w:sz w:val="18"/>
              </w:rPr>
            </w:pPr>
            <w:r>
              <w:rPr>
                <w:sz w:val="18"/>
              </w:rPr>
              <w:t>10.4</w:t>
            </w:r>
          </w:p>
        </w:tc>
        <w:tc>
          <w:tcPr>
            <w:tcW w:w="992" w:type="dxa"/>
            <w:tcBorders>
              <w:end w:val="single" w:sz="12" w:space="0" w:color="000000"/>
            </w:tcBorders>
          </w:tcPr>
          <w:p>
            <w:pPr>
              <w:pStyle w:val="Normal"/>
              <w:jc w:val="center"/>
              <w:rPr>
                <w:sz w:val="18"/>
              </w:rPr>
            </w:pPr>
            <w:r>
              <w:rPr>
                <w:sz w:val="18"/>
              </w:rPr>
              <w:t>-0.3</w:t>
            </w:r>
          </w:p>
        </w:tc>
      </w:tr>
      <w:tr>
        <w:trPr/>
        <w:tc>
          <w:tcPr>
            <w:tcW w:w="866" w:type="dxa"/>
            <w:tcBorders>
              <w:start w:val="single" w:sz="12" w:space="0" w:color="000000"/>
              <w:end w:val="single" w:sz="6" w:space="0" w:color="000000"/>
            </w:tcBorders>
          </w:tcPr>
          <w:p>
            <w:pPr>
              <w:pStyle w:val="Normal"/>
              <w:jc w:val="center"/>
              <w:rPr>
                <w:b/>
                <w:sz w:val="16"/>
              </w:rPr>
            </w:pPr>
            <w:r>
              <w:rPr>
                <w:b/>
                <w:sz w:val="16"/>
              </w:rPr>
              <w:t>1995</w:t>
            </w:r>
          </w:p>
        </w:tc>
        <w:tc>
          <w:tcPr>
            <w:tcW w:w="1223" w:type="dxa"/>
            <w:gridSpan w:val="2"/>
            <w:tcBorders>
              <w:start w:val="single" w:sz="6" w:space="0" w:color="000000"/>
            </w:tcBorders>
          </w:tcPr>
          <w:p>
            <w:pPr>
              <w:pStyle w:val="Normal"/>
              <w:jc w:val="center"/>
              <w:rPr>
                <w:sz w:val="18"/>
              </w:rPr>
            </w:pPr>
            <w:r>
              <w:rPr>
                <w:sz w:val="18"/>
              </w:rPr>
              <w:t>0.4</w:t>
            </w:r>
          </w:p>
        </w:tc>
        <w:tc>
          <w:tcPr>
            <w:tcW w:w="1213" w:type="dxa"/>
            <w:gridSpan w:val="3"/>
            <w:tcBorders/>
          </w:tcPr>
          <w:p>
            <w:pPr>
              <w:pStyle w:val="Normal"/>
              <w:jc w:val="center"/>
              <w:rPr>
                <w:sz w:val="18"/>
              </w:rPr>
            </w:pPr>
            <w:r>
              <w:rPr>
                <w:sz w:val="18"/>
              </w:rPr>
              <w:t>-7.2</w:t>
            </w:r>
          </w:p>
        </w:tc>
        <w:tc>
          <w:tcPr>
            <w:tcW w:w="1213" w:type="dxa"/>
            <w:gridSpan w:val="4"/>
            <w:tcBorders/>
          </w:tcPr>
          <w:p>
            <w:pPr>
              <w:pStyle w:val="Normal"/>
              <w:jc w:val="center"/>
              <w:rPr>
                <w:sz w:val="18"/>
              </w:rPr>
            </w:pPr>
            <w:r>
              <w:rPr>
                <w:sz w:val="18"/>
              </w:rPr>
              <w:t>103.8</w:t>
            </w:r>
          </w:p>
        </w:tc>
        <w:tc>
          <w:tcPr>
            <w:tcW w:w="1275" w:type="dxa"/>
            <w:gridSpan w:val="3"/>
            <w:tcBorders/>
          </w:tcPr>
          <w:p>
            <w:pPr>
              <w:pStyle w:val="Normal"/>
              <w:jc w:val="center"/>
              <w:rPr>
                <w:sz w:val="18"/>
              </w:rPr>
            </w:pPr>
            <w:r>
              <w:rPr>
                <w:sz w:val="18"/>
              </w:rPr>
              <w:t>46.5</w:t>
            </w:r>
          </w:p>
        </w:tc>
        <w:tc>
          <w:tcPr>
            <w:tcW w:w="1290" w:type="dxa"/>
            <w:gridSpan w:val="3"/>
            <w:tcBorders/>
          </w:tcPr>
          <w:p>
            <w:pPr>
              <w:pStyle w:val="Normal"/>
              <w:jc w:val="center"/>
              <w:rPr>
                <w:sz w:val="18"/>
              </w:rPr>
            </w:pPr>
            <w:r>
              <w:rPr>
                <w:sz w:val="18"/>
              </w:rPr>
              <w:t>49.7</w:t>
            </w:r>
          </w:p>
        </w:tc>
        <w:tc>
          <w:tcPr>
            <w:tcW w:w="1120" w:type="dxa"/>
            <w:gridSpan w:val="2"/>
            <w:tcBorders/>
          </w:tcPr>
          <w:p>
            <w:pPr>
              <w:pStyle w:val="Normal"/>
              <w:jc w:val="center"/>
              <w:rPr>
                <w:sz w:val="18"/>
              </w:rPr>
            </w:pPr>
            <w:r>
              <w:rPr>
                <w:sz w:val="18"/>
              </w:rPr>
              <w:t>-3.1</w:t>
            </w:r>
          </w:p>
        </w:tc>
        <w:tc>
          <w:tcPr>
            <w:tcW w:w="992" w:type="dxa"/>
            <w:tcBorders>
              <w:end w:val="single" w:sz="12" w:space="0" w:color="000000"/>
            </w:tcBorders>
          </w:tcPr>
          <w:p>
            <w:pPr>
              <w:pStyle w:val="Normal"/>
              <w:jc w:val="center"/>
              <w:rPr>
                <w:sz w:val="18"/>
              </w:rPr>
            </w:pPr>
            <w:r>
              <w:rPr>
                <w:sz w:val="18"/>
              </w:rPr>
              <w:t>-2.5</w:t>
            </w:r>
          </w:p>
        </w:tc>
      </w:tr>
      <w:tr>
        <w:trPr/>
        <w:tc>
          <w:tcPr>
            <w:tcW w:w="866" w:type="dxa"/>
            <w:tcBorders>
              <w:start w:val="single" w:sz="12" w:space="0" w:color="000000"/>
              <w:end w:val="single" w:sz="6" w:space="0" w:color="000000"/>
            </w:tcBorders>
          </w:tcPr>
          <w:p>
            <w:pPr>
              <w:pStyle w:val="Normal"/>
              <w:jc w:val="center"/>
              <w:rPr>
                <w:b/>
                <w:sz w:val="16"/>
              </w:rPr>
            </w:pPr>
            <w:r>
              <w:rPr>
                <w:b/>
                <w:sz w:val="16"/>
              </w:rPr>
              <w:t>1996</w:t>
            </w:r>
          </w:p>
        </w:tc>
        <w:tc>
          <w:tcPr>
            <w:tcW w:w="1223" w:type="dxa"/>
            <w:gridSpan w:val="2"/>
            <w:tcBorders>
              <w:start w:val="single" w:sz="6" w:space="0" w:color="000000"/>
            </w:tcBorders>
          </w:tcPr>
          <w:p>
            <w:pPr>
              <w:pStyle w:val="Normal"/>
              <w:jc w:val="center"/>
              <w:rPr>
                <w:sz w:val="18"/>
              </w:rPr>
            </w:pPr>
            <w:r>
              <w:rPr>
                <w:sz w:val="18"/>
              </w:rPr>
              <w:t>-0.1</w:t>
            </w:r>
          </w:p>
        </w:tc>
        <w:tc>
          <w:tcPr>
            <w:tcW w:w="1213" w:type="dxa"/>
            <w:gridSpan w:val="3"/>
            <w:tcBorders/>
          </w:tcPr>
          <w:p>
            <w:pPr>
              <w:pStyle w:val="Normal"/>
              <w:jc w:val="center"/>
              <w:rPr>
                <w:sz w:val="18"/>
              </w:rPr>
            </w:pPr>
            <w:r>
              <w:rPr>
                <w:sz w:val="18"/>
              </w:rPr>
              <w:t>-5.9</w:t>
            </w:r>
          </w:p>
        </w:tc>
        <w:tc>
          <w:tcPr>
            <w:tcW w:w="1213" w:type="dxa"/>
            <w:gridSpan w:val="4"/>
            <w:tcBorders/>
          </w:tcPr>
          <w:p>
            <w:pPr>
              <w:pStyle w:val="Normal"/>
              <w:jc w:val="center"/>
              <w:rPr>
                <w:sz w:val="18"/>
              </w:rPr>
            </w:pPr>
            <w:r>
              <w:rPr>
                <w:sz w:val="18"/>
              </w:rPr>
              <w:t>104.5</w:t>
            </w:r>
          </w:p>
        </w:tc>
        <w:tc>
          <w:tcPr>
            <w:tcW w:w="1275" w:type="dxa"/>
            <w:gridSpan w:val="3"/>
            <w:tcBorders/>
          </w:tcPr>
          <w:p>
            <w:pPr>
              <w:pStyle w:val="Normal"/>
              <w:jc w:val="center"/>
              <w:rPr>
                <w:sz w:val="18"/>
              </w:rPr>
            </w:pPr>
            <w:r>
              <w:rPr>
                <w:sz w:val="18"/>
              </w:rPr>
              <w:t>47.8</w:t>
            </w:r>
          </w:p>
        </w:tc>
        <w:tc>
          <w:tcPr>
            <w:tcW w:w="1290" w:type="dxa"/>
            <w:gridSpan w:val="3"/>
            <w:tcBorders/>
          </w:tcPr>
          <w:p>
            <w:pPr>
              <w:pStyle w:val="Normal"/>
              <w:jc w:val="center"/>
              <w:rPr>
                <w:sz w:val="18"/>
              </w:rPr>
            </w:pPr>
            <w:r>
              <w:rPr>
                <w:sz w:val="18"/>
              </w:rPr>
              <w:t>53.3</w:t>
            </w:r>
          </w:p>
        </w:tc>
        <w:tc>
          <w:tcPr>
            <w:tcW w:w="1120" w:type="dxa"/>
            <w:gridSpan w:val="2"/>
            <w:tcBorders/>
          </w:tcPr>
          <w:p>
            <w:pPr>
              <w:pStyle w:val="Normal"/>
              <w:jc w:val="center"/>
              <w:rPr>
                <w:sz w:val="18"/>
              </w:rPr>
            </w:pPr>
            <w:r>
              <w:rPr>
                <w:sz w:val="18"/>
              </w:rPr>
              <w:t>-5.5</w:t>
            </w:r>
          </w:p>
        </w:tc>
        <w:tc>
          <w:tcPr>
            <w:tcW w:w="992" w:type="dxa"/>
            <w:tcBorders>
              <w:end w:val="single" w:sz="12" w:space="0" w:color="000000"/>
            </w:tcBorders>
          </w:tcPr>
          <w:p>
            <w:pPr>
              <w:pStyle w:val="Normal"/>
              <w:jc w:val="center"/>
              <w:rPr>
                <w:sz w:val="18"/>
              </w:rPr>
            </w:pPr>
            <w:r>
              <w:rPr>
                <w:sz w:val="18"/>
              </w:rPr>
              <w:t>-3.1</w:t>
            </w:r>
          </w:p>
        </w:tc>
      </w:tr>
      <w:tr>
        <w:trPr/>
        <w:tc>
          <w:tcPr>
            <w:tcW w:w="866" w:type="dxa"/>
            <w:tcBorders>
              <w:start w:val="single" w:sz="12" w:space="0" w:color="000000"/>
              <w:end w:val="single" w:sz="6" w:space="0" w:color="000000"/>
            </w:tcBorders>
          </w:tcPr>
          <w:p>
            <w:pPr>
              <w:pStyle w:val="Normal"/>
              <w:jc w:val="center"/>
              <w:rPr>
                <w:b/>
                <w:sz w:val="16"/>
              </w:rPr>
            </w:pPr>
            <w:r>
              <w:rPr>
                <w:b/>
                <w:sz w:val="16"/>
              </w:rPr>
              <w:t>1997</w:t>
            </w:r>
          </w:p>
        </w:tc>
        <w:tc>
          <w:tcPr>
            <w:tcW w:w="1223" w:type="dxa"/>
            <w:gridSpan w:val="2"/>
            <w:tcBorders>
              <w:start w:val="single" w:sz="6" w:space="0" w:color="000000"/>
            </w:tcBorders>
          </w:tcPr>
          <w:p>
            <w:pPr>
              <w:pStyle w:val="Normal"/>
              <w:jc w:val="center"/>
              <w:rPr>
                <w:sz w:val="18"/>
              </w:rPr>
            </w:pPr>
            <w:r>
              <w:rPr>
                <w:sz w:val="18"/>
              </w:rPr>
              <w:t>-0.9</w:t>
            </w:r>
          </w:p>
        </w:tc>
        <w:tc>
          <w:tcPr>
            <w:tcW w:w="1213" w:type="dxa"/>
            <w:gridSpan w:val="3"/>
            <w:tcBorders/>
          </w:tcPr>
          <w:p>
            <w:pPr>
              <w:pStyle w:val="Normal"/>
              <w:jc w:val="center"/>
              <w:rPr>
                <w:sz w:val="18"/>
              </w:rPr>
            </w:pPr>
            <w:r>
              <w:rPr>
                <w:sz w:val="18"/>
              </w:rPr>
              <w:t>-6.1</w:t>
            </w:r>
          </w:p>
        </w:tc>
        <w:tc>
          <w:tcPr>
            <w:tcW w:w="1213" w:type="dxa"/>
            <w:gridSpan w:val="4"/>
            <w:tcBorders/>
          </w:tcPr>
          <w:p>
            <w:pPr>
              <w:pStyle w:val="Normal"/>
              <w:jc w:val="center"/>
              <w:rPr>
                <w:sz w:val="18"/>
              </w:rPr>
            </w:pPr>
            <w:r>
              <w:rPr>
                <w:sz w:val="18"/>
              </w:rPr>
              <w:t>116.3</w:t>
            </w:r>
          </w:p>
        </w:tc>
        <w:tc>
          <w:tcPr>
            <w:tcW w:w="1275" w:type="dxa"/>
            <w:gridSpan w:val="3"/>
            <w:tcBorders/>
          </w:tcPr>
          <w:p>
            <w:pPr>
              <w:pStyle w:val="Normal"/>
              <w:jc w:val="center"/>
              <w:rPr>
                <w:sz w:val="18"/>
              </w:rPr>
            </w:pPr>
            <w:r>
              <w:rPr>
                <w:sz w:val="18"/>
              </w:rPr>
              <w:t>53.0</w:t>
            </w:r>
          </w:p>
        </w:tc>
        <w:tc>
          <w:tcPr>
            <w:tcW w:w="1290" w:type="dxa"/>
            <w:gridSpan w:val="3"/>
            <w:tcBorders/>
          </w:tcPr>
          <w:p>
            <w:pPr>
              <w:pStyle w:val="Normal"/>
              <w:jc w:val="center"/>
              <w:rPr>
                <w:sz w:val="18"/>
              </w:rPr>
            </w:pPr>
            <w:r>
              <w:rPr>
                <w:sz w:val="18"/>
              </w:rPr>
              <w:t>61.3</w:t>
            </w:r>
          </w:p>
        </w:tc>
        <w:tc>
          <w:tcPr>
            <w:tcW w:w="1120" w:type="dxa"/>
            <w:gridSpan w:val="2"/>
            <w:tcBorders/>
          </w:tcPr>
          <w:p>
            <w:pPr>
              <w:pStyle w:val="Normal"/>
              <w:jc w:val="center"/>
              <w:rPr>
                <w:sz w:val="18"/>
              </w:rPr>
            </w:pPr>
            <w:r>
              <w:rPr>
                <w:sz w:val="18"/>
              </w:rPr>
              <w:t>-8.3</w:t>
            </w:r>
          </w:p>
        </w:tc>
        <w:tc>
          <w:tcPr>
            <w:tcW w:w="992" w:type="dxa"/>
            <w:tcBorders>
              <w:end w:val="single" w:sz="12" w:space="0" w:color="000000"/>
            </w:tcBorders>
          </w:tcPr>
          <w:p>
            <w:pPr>
              <w:pStyle w:val="Normal"/>
              <w:jc w:val="center"/>
              <w:rPr>
                <w:sz w:val="18"/>
              </w:rPr>
            </w:pPr>
            <w:r>
              <w:rPr>
                <w:sz w:val="18"/>
              </w:rPr>
              <w:t>-3.8</w:t>
            </w:r>
          </w:p>
        </w:tc>
      </w:tr>
      <w:tr>
        <w:trPr/>
        <w:tc>
          <w:tcPr>
            <w:tcW w:w="866" w:type="dxa"/>
            <w:tcBorders>
              <w:start w:val="single" w:sz="12" w:space="0" w:color="000000"/>
              <w:end w:val="single" w:sz="6" w:space="0" w:color="000000"/>
            </w:tcBorders>
          </w:tcPr>
          <w:p>
            <w:pPr>
              <w:pStyle w:val="Normal"/>
              <w:jc w:val="center"/>
              <w:rPr>
                <w:b/>
                <w:sz w:val="16"/>
              </w:rPr>
            </w:pPr>
            <w:r>
              <w:rPr>
                <w:b/>
                <w:sz w:val="16"/>
              </w:rPr>
              <w:t>1998</w:t>
            </w:r>
          </w:p>
        </w:tc>
        <w:tc>
          <w:tcPr>
            <w:tcW w:w="1223" w:type="dxa"/>
            <w:gridSpan w:val="2"/>
            <w:tcBorders>
              <w:start w:val="single" w:sz="6" w:space="0" w:color="000000"/>
            </w:tcBorders>
          </w:tcPr>
          <w:p>
            <w:pPr>
              <w:pStyle w:val="Normal"/>
              <w:jc w:val="center"/>
              <w:rPr>
                <w:sz w:val="18"/>
              </w:rPr>
            </w:pPr>
            <w:r>
              <w:rPr>
                <w:sz w:val="18"/>
              </w:rPr>
              <w:t>0.1</w:t>
            </w:r>
          </w:p>
        </w:tc>
        <w:tc>
          <w:tcPr>
            <w:tcW w:w="1213" w:type="dxa"/>
            <w:gridSpan w:val="3"/>
            <w:tcBorders/>
          </w:tcPr>
          <w:p>
            <w:pPr>
              <w:pStyle w:val="Normal"/>
              <w:jc w:val="center"/>
              <w:rPr>
                <w:sz w:val="18"/>
              </w:rPr>
            </w:pPr>
            <w:r>
              <w:rPr>
                <w:sz w:val="18"/>
              </w:rPr>
              <w:t>-8.0</w:t>
            </w:r>
          </w:p>
        </w:tc>
        <w:tc>
          <w:tcPr>
            <w:tcW w:w="1213" w:type="dxa"/>
            <w:gridSpan w:val="4"/>
            <w:tcBorders/>
          </w:tcPr>
          <w:p>
            <w:pPr>
              <w:pStyle w:val="Normal"/>
              <w:jc w:val="center"/>
              <w:rPr>
                <w:sz w:val="18"/>
              </w:rPr>
            </w:pPr>
            <w:r>
              <w:rPr>
                <w:sz w:val="18"/>
              </w:rPr>
              <w:t>133.2</w:t>
            </w:r>
          </w:p>
        </w:tc>
        <w:tc>
          <w:tcPr>
            <w:tcW w:w="1275" w:type="dxa"/>
            <w:gridSpan w:val="3"/>
            <w:tcBorders/>
          </w:tcPr>
          <w:p>
            <w:pPr>
              <w:pStyle w:val="Normal"/>
              <w:jc w:val="center"/>
              <w:rPr>
                <w:sz w:val="18"/>
              </w:rPr>
            </w:pPr>
            <w:r>
              <w:rPr>
                <w:sz w:val="18"/>
              </w:rPr>
              <w:t>51.1</w:t>
            </w:r>
          </w:p>
        </w:tc>
        <w:tc>
          <w:tcPr>
            <w:tcW w:w="1290" w:type="dxa"/>
            <w:gridSpan w:val="3"/>
            <w:tcBorders/>
          </w:tcPr>
          <w:p>
            <w:pPr>
              <w:pStyle w:val="Normal"/>
              <w:jc w:val="center"/>
              <w:rPr>
                <w:sz w:val="18"/>
              </w:rPr>
            </w:pPr>
            <w:r>
              <w:rPr>
                <w:sz w:val="18"/>
              </w:rPr>
              <w:t>57.6</w:t>
            </w:r>
          </w:p>
        </w:tc>
        <w:tc>
          <w:tcPr>
            <w:tcW w:w="1120" w:type="dxa"/>
            <w:gridSpan w:val="2"/>
            <w:tcBorders/>
          </w:tcPr>
          <w:p>
            <w:pPr>
              <w:pStyle w:val="Normal"/>
              <w:jc w:val="center"/>
              <w:rPr>
                <w:sz w:val="18"/>
              </w:rPr>
            </w:pPr>
            <w:r>
              <w:rPr>
                <w:sz w:val="18"/>
              </w:rPr>
              <w:t>-6.5</w:t>
            </w:r>
          </w:p>
        </w:tc>
        <w:tc>
          <w:tcPr>
            <w:tcW w:w="992" w:type="dxa"/>
            <w:tcBorders>
              <w:end w:val="single" w:sz="12" w:space="0" w:color="000000"/>
            </w:tcBorders>
          </w:tcPr>
          <w:p>
            <w:pPr>
              <w:pStyle w:val="Normal"/>
              <w:jc w:val="center"/>
              <w:rPr>
                <w:sz w:val="18"/>
              </w:rPr>
            </w:pPr>
            <w:r>
              <w:rPr>
                <w:sz w:val="18"/>
              </w:rPr>
              <w:t>-4.3</w:t>
            </w:r>
          </w:p>
        </w:tc>
      </w:tr>
      <w:tr>
        <w:trPr/>
        <w:tc>
          <w:tcPr>
            <w:tcW w:w="866" w:type="dxa"/>
            <w:tcBorders>
              <w:start w:val="single" w:sz="12" w:space="0" w:color="000000"/>
              <w:end w:val="single" w:sz="6" w:space="0" w:color="000000"/>
            </w:tcBorders>
          </w:tcPr>
          <w:p>
            <w:pPr>
              <w:pStyle w:val="Normal"/>
              <w:jc w:val="center"/>
              <w:rPr>
                <w:b/>
                <w:sz w:val="16"/>
              </w:rPr>
            </w:pPr>
            <w:r>
              <w:rPr>
                <w:b/>
                <w:sz w:val="16"/>
              </w:rPr>
              <w:t>1999</w:t>
            </w:r>
          </w:p>
        </w:tc>
        <w:tc>
          <w:tcPr>
            <w:tcW w:w="1223" w:type="dxa"/>
            <w:gridSpan w:val="2"/>
            <w:tcBorders>
              <w:start w:val="single" w:sz="6" w:space="0" w:color="000000"/>
            </w:tcBorders>
          </w:tcPr>
          <w:p>
            <w:pPr>
              <w:pStyle w:val="Normal"/>
              <w:jc w:val="center"/>
              <w:rPr>
                <w:sz w:val="18"/>
              </w:rPr>
            </w:pPr>
            <w:r>
              <w:rPr>
                <w:sz w:val="18"/>
              </w:rPr>
              <w:t>3.1</w:t>
            </w:r>
          </w:p>
        </w:tc>
        <w:tc>
          <w:tcPr>
            <w:tcW w:w="1213" w:type="dxa"/>
            <w:gridSpan w:val="3"/>
            <w:tcBorders/>
          </w:tcPr>
          <w:p>
            <w:pPr>
              <w:pStyle w:val="Normal"/>
              <w:jc w:val="center"/>
              <w:rPr>
                <w:sz w:val="18"/>
              </w:rPr>
            </w:pPr>
            <w:r>
              <w:rPr>
                <w:sz w:val="18"/>
              </w:rPr>
              <w:t>-10.0</w:t>
            </w:r>
          </w:p>
        </w:tc>
        <w:tc>
          <w:tcPr>
            <w:tcW w:w="1213" w:type="dxa"/>
            <w:gridSpan w:val="4"/>
            <w:tcBorders/>
          </w:tcPr>
          <w:p>
            <w:pPr>
              <w:pStyle w:val="Normal"/>
              <w:jc w:val="center"/>
              <w:rPr>
                <w:sz w:val="18"/>
              </w:rPr>
            </w:pPr>
            <w:r>
              <w:rPr>
                <w:sz w:val="18"/>
              </w:rPr>
              <w:t>145.7</w:t>
            </w:r>
          </w:p>
        </w:tc>
        <w:tc>
          <w:tcPr>
            <w:tcW w:w="1275" w:type="dxa"/>
            <w:gridSpan w:val="3"/>
            <w:tcBorders/>
          </w:tcPr>
          <w:p>
            <w:pPr>
              <w:pStyle w:val="Normal"/>
              <w:jc w:val="center"/>
              <w:rPr>
                <w:sz w:val="18"/>
              </w:rPr>
            </w:pPr>
            <w:r>
              <w:rPr>
                <w:sz w:val="18"/>
              </w:rPr>
              <w:t>48.0</w:t>
            </w:r>
          </w:p>
        </w:tc>
        <w:tc>
          <w:tcPr>
            <w:tcW w:w="1290" w:type="dxa"/>
            <w:gridSpan w:val="3"/>
            <w:tcBorders/>
          </w:tcPr>
          <w:p>
            <w:pPr>
              <w:pStyle w:val="Normal"/>
              <w:jc w:val="center"/>
              <w:rPr>
                <w:sz w:val="18"/>
              </w:rPr>
            </w:pPr>
            <w:r>
              <w:rPr>
                <w:sz w:val="18"/>
              </w:rPr>
              <w:t>49.2</w:t>
            </w:r>
          </w:p>
        </w:tc>
        <w:tc>
          <w:tcPr>
            <w:tcW w:w="1120" w:type="dxa"/>
            <w:gridSpan w:val="2"/>
            <w:tcBorders/>
          </w:tcPr>
          <w:p>
            <w:pPr>
              <w:pStyle w:val="Normal"/>
              <w:jc w:val="center"/>
              <w:rPr>
                <w:sz w:val="18"/>
              </w:rPr>
            </w:pPr>
            <w:r>
              <w:rPr>
                <w:sz w:val="18"/>
              </w:rPr>
              <w:t>-1.2</w:t>
            </w:r>
          </w:p>
        </w:tc>
        <w:tc>
          <w:tcPr>
            <w:tcW w:w="992" w:type="dxa"/>
            <w:tcBorders>
              <w:end w:val="single" w:sz="12" w:space="0" w:color="000000"/>
            </w:tcBorders>
          </w:tcPr>
          <w:p>
            <w:pPr>
              <w:pStyle w:val="Normal"/>
              <w:jc w:val="center"/>
              <w:rPr>
                <w:sz w:val="18"/>
              </w:rPr>
            </w:pPr>
            <w:r>
              <w:rPr>
                <w:sz w:val="18"/>
              </w:rPr>
              <w:t>-4.4</w:t>
            </w:r>
          </w:p>
        </w:tc>
      </w:tr>
      <w:tr>
        <w:trPr/>
        <w:tc>
          <w:tcPr>
            <w:tcW w:w="866" w:type="dxa"/>
            <w:tcBorders>
              <w:start w:val="single" w:sz="12" w:space="0" w:color="000000"/>
              <w:bottom w:val="single" w:sz="12" w:space="0" w:color="000000"/>
              <w:end w:val="single" w:sz="6" w:space="0" w:color="000000"/>
            </w:tcBorders>
          </w:tcPr>
          <w:p>
            <w:pPr>
              <w:pStyle w:val="Normal"/>
              <w:jc w:val="center"/>
              <w:rPr>
                <w:b/>
                <w:sz w:val="16"/>
              </w:rPr>
            </w:pPr>
            <w:r>
              <w:rPr>
                <w:b/>
                <w:sz w:val="16"/>
              </w:rPr>
              <w:t>2000</w:t>
            </w:r>
          </w:p>
        </w:tc>
        <w:tc>
          <w:tcPr>
            <w:tcW w:w="1223" w:type="dxa"/>
            <w:gridSpan w:val="2"/>
            <w:tcBorders>
              <w:start w:val="single" w:sz="6" w:space="0" w:color="000000"/>
              <w:bottom w:val="single" w:sz="12" w:space="0" w:color="000000"/>
            </w:tcBorders>
          </w:tcPr>
          <w:p>
            <w:pPr>
              <w:pStyle w:val="Normal"/>
              <w:jc w:val="center"/>
              <w:rPr>
                <w:sz w:val="18"/>
              </w:rPr>
            </w:pPr>
            <w:r>
              <w:rPr>
                <w:sz w:val="18"/>
              </w:rPr>
              <w:t>3.3</w:t>
            </w:r>
          </w:p>
        </w:tc>
        <w:tc>
          <w:tcPr>
            <w:tcW w:w="1213" w:type="dxa"/>
            <w:gridSpan w:val="3"/>
            <w:tcBorders>
              <w:bottom w:val="single" w:sz="12" w:space="0" w:color="000000"/>
            </w:tcBorders>
          </w:tcPr>
          <w:p>
            <w:pPr>
              <w:pStyle w:val="Normal"/>
              <w:jc w:val="center"/>
              <w:rPr>
                <w:sz w:val="18"/>
              </w:rPr>
            </w:pPr>
            <w:r>
              <w:rPr>
                <w:sz w:val="18"/>
              </w:rPr>
              <w:t>-3.1</w:t>
            </w:r>
          </w:p>
        </w:tc>
        <w:tc>
          <w:tcPr>
            <w:tcW w:w="1213" w:type="dxa"/>
            <w:gridSpan w:val="4"/>
            <w:tcBorders>
              <w:bottom w:val="single" w:sz="12" w:space="0" w:color="000000"/>
            </w:tcBorders>
          </w:tcPr>
          <w:p>
            <w:pPr>
              <w:pStyle w:val="Normal"/>
              <w:jc w:val="center"/>
              <w:rPr>
                <w:sz w:val="18"/>
              </w:rPr>
            </w:pPr>
            <w:r>
              <w:rPr>
                <w:sz w:val="18"/>
              </w:rPr>
              <w:t>156.9</w:t>
            </w:r>
          </w:p>
        </w:tc>
        <w:tc>
          <w:tcPr>
            <w:tcW w:w="1275" w:type="dxa"/>
            <w:gridSpan w:val="3"/>
            <w:tcBorders>
              <w:bottom w:val="single" w:sz="12" w:space="0" w:color="000000"/>
            </w:tcBorders>
          </w:tcPr>
          <w:p>
            <w:pPr>
              <w:pStyle w:val="Normal"/>
              <w:jc w:val="center"/>
              <w:rPr>
                <w:sz w:val="18"/>
              </w:rPr>
            </w:pPr>
            <w:r>
              <w:rPr>
                <w:sz w:val="18"/>
              </w:rPr>
              <w:t>55.0</w:t>
            </w:r>
          </w:p>
        </w:tc>
        <w:tc>
          <w:tcPr>
            <w:tcW w:w="1290" w:type="dxa"/>
            <w:gridSpan w:val="3"/>
            <w:tcBorders>
              <w:bottom w:val="single" w:sz="12" w:space="0" w:color="000000"/>
            </w:tcBorders>
          </w:tcPr>
          <w:p>
            <w:pPr>
              <w:pStyle w:val="Normal"/>
              <w:jc w:val="center"/>
              <w:rPr>
                <w:sz w:val="18"/>
              </w:rPr>
            </w:pPr>
            <w:r>
              <w:rPr>
                <w:sz w:val="18"/>
              </w:rPr>
              <w:t>52.0</w:t>
            </w:r>
          </w:p>
        </w:tc>
        <w:tc>
          <w:tcPr>
            <w:tcW w:w="1120" w:type="dxa"/>
            <w:gridSpan w:val="2"/>
            <w:tcBorders>
              <w:bottom w:val="single" w:sz="12" w:space="0" w:color="000000"/>
            </w:tcBorders>
          </w:tcPr>
          <w:p>
            <w:pPr>
              <w:pStyle w:val="Normal"/>
              <w:jc w:val="center"/>
              <w:rPr>
                <w:sz w:val="18"/>
              </w:rPr>
            </w:pPr>
            <w:r>
              <w:rPr>
                <w:sz w:val="18"/>
              </w:rPr>
              <w:t>3.0</w:t>
            </w:r>
          </w:p>
        </w:tc>
        <w:tc>
          <w:tcPr>
            <w:tcW w:w="992" w:type="dxa"/>
            <w:tcBorders>
              <w:bottom w:val="single" w:sz="12" w:space="0" w:color="000000"/>
              <w:end w:val="single" w:sz="12" w:space="0" w:color="000000"/>
            </w:tcBorders>
          </w:tcPr>
          <w:p>
            <w:pPr>
              <w:pStyle w:val="Normal"/>
              <w:jc w:val="center"/>
              <w:rPr>
                <w:sz w:val="18"/>
              </w:rPr>
            </w:pPr>
            <w:r>
              <w:rPr>
                <w:sz w:val="18"/>
              </w:rPr>
              <w:t>-3.5</w:t>
            </w:r>
          </w:p>
        </w:tc>
      </w:tr>
    </w:tbl>
    <w:p>
      <w:pPr>
        <w:pStyle w:val="Normal"/>
        <w:rPr/>
      </w:pPr>
      <w:r>
        <w:rPr/>
      </w:r>
    </w:p>
    <w:p>
      <w:pPr>
        <w:pStyle w:val="Normal"/>
        <w:rPr/>
      </w:pPr>
      <w:r>
        <w:rPr/>
      </w:r>
    </w:p>
    <w:tbl>
      <w:tblPr>
        <w:tblW w:w="9469" w:type="dxa"/>
        <w:jc w:val="start"/>
        <w:tblInd w:w="0" w:type="dxa"/>
        <w:tblLayout w:type="fixed"/>
        <w:tblCellMar>
          <w:top w:w="0" w:type="dxa"/>
          <w:start w:w="113" w:type="dxa"/>
          <w:bottom w:w="0" w:type="dxa"/>
          <w:end w:w="113" w:type="dxa"/>
        </w:tblCellMar>
      </w:tblPr>
      <w:tblGrid>
        <w:gridCol w:w="628"/>
        <w:gridCol w:w="396"/>
        <w:gridCol w:w="649"/>
        <w:gridCol w:w="850"/>
        <w:gridCol w:w="851"/>
        <w:gridCol w:w="708"/>
        <w:gridCol w:w="16"/>
        <w:gridCol w:w="693"/>
        <w:gridCol w:w="30"/>
        <w:gridCol w:w="679"/>
        <w:gridCol w:w="850"/>
        <w:gridCol w:w="709"/>
        <w:gridCol w:w="709"/>
        <w:gridCol w:w="850"/>
        <w:gridCol w:w="836"/>
        <w:gridCol w:w="15"/>
      </w:tblGrid>
      <w:tr>
        <w:trPr/>
        <w:tc>
          <w:tcPr>
            <w:tcW w:w="628" w:type="dxa"/>
            <w:tcBorders>
              <w:top w:val="single" w:sz="12" w:space="0" w:color="000000"/>
              <w:start w:val="single" w:sz="12" w:space="0" w:color="000000"/>
            </w:tcBorders>
          </w:tcPr>
          <w:p>
            <w:pPr>
              <w:pStyle w:val="Normal"/>
              <w:snapToGrid w:val="false"/>
              <w:jc w:val="center"/>
              <w:rPr>
                <w:b/>
                <w:sz w:val="16"/>
              </w:rPr>
            </w:pPr>
            <w:r>
              <w:rPr>
                <w:b/>
                <w:sz w:val="16"/>
              </w:rPr>
            </w:r>
          </w:p>
        </w:tc>
        <w:tc>
          <w:tcPr>
            <w:tcW w:w="396" w:type="dxa"/>
            <w:tcBorders>
              <w:top w:val="single" w:sz="12" w:space="0" w:color="000000"/>
              <w:end w:val="single" w:sz="6" w:space="0" w:color="000000"/>
            </w:tcBorders>
          </w:tcPr>
          <w:p>
            <w:pPr>
              <w:pStyle w:val="Normal"/>
              <w:snapToGrid w:val="false"/>
              <w:rPr>
                <w:b/>
                <w:sz w:val="14"/>
              </w:rPr>
            </w:pPr>
            <w:r>
              <w:rPr>
                <w:b/>
                <w:sz w:val="14"/>
              </w:rPr>
            </w:r>
          </w:p>
        </w:tc>
        <w:tc>
          <w:tcPr>
            <w:tcW w:w="2350" w:type="dxa"/>
            <w:gridSpan w:val="3"/>
            <w:tcBorders>
              <w:top w:val="single" w:sz="12"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Inflation</w:t>
            </w:r>
          </w:p>
          <w:p>
            <w:pPr>
              <w:pStyle w:val="Normal"/>
              <w:jc w:val="center"/>
              <w:rPr>
                <w:b/>
                <w:sz w:val="18"/>
              </w:rPr>
            </w:pPr>
            <w:r>
              <w:rPr>
                <w:b/>
                <w:sz w:val="18"/>
              </w:rPr>
              <w:t>(IPCA-IBGE)</w:t>
            </w:r>
          </w:p>
        </w:tc>
        <w:tc>
          <w:tcPr>
            <w:tcW w:w="2126" w:type="dxa"/>
            <w:gridSpan w:val="5"/>
            <w:tcBorders>
              <w:top w:val="single" w:sz="12"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r>
          </w:p>
          <w:p>
            <w:pPr>
              <w:pStyle w:val="Normal"/>
              <w:jc w:val="center"/>
              <w:rPr>
                <w:b/>
                <w:sz w:val="18"/>
              </w:rPr>
            </w:pPr>
            <w:r>
              <w:rPr>
                <w:b/>
                <w:sz w:val="18"/>
              </w:rPr>
              <w:t>Nominal Interest Rate</w:t>
            </w:r>
          </w:p>
        </w:tc>
        <w:tc>
          <w:tcPr>
            <w:tcW w:w="3118" w:type="dxa"/>
            <w:gridSpan w:val="4"/>
            <w:tcBorders>
              <w:top w:val="single" w:sz="12"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r>
          </w:p>
          <w:p>
            <w:pPr>
              <w:pStyle w:val="Normal"/>
              <w:jc w:val="center"/>
              <w:rPr>
                <w:b/>
                <w:sz w:val="18"/>
              </w:rPr>
            </w:pPr>
            <w:r>
              <w:rPr>
                <w:b/>
                <w:sz w:val="18"/>
              </w:rPr>
              <w:t>Nominal Exchange Rate</w:t>
            </w:r>
          </w:p>
        </w:tc>
        <w:tc>
          <w:tcPr>
            <w:tcW w:w="851" w:type="dxa"/>
            <w:tcBorders>
              <w:top w:val="single" w:sz="12" w:space="0" w:color="000000"/>
              <w:start w:val="single" w:sz="6" w:space="0" w:color="000000"/>
              <w:bottom w:val="single" w:sz="6" w:space="0" w:color="000000"/>
              <w:end w:val="single" w:sz="12" w:space="0" w:color="000000"/>
            </w:tcBorders>
          </w:tcPr>
          <w:p>
            <w:pPr>
              <w:pStyle w:val="Normal"/>
              <w:jc w:val="center"/>
              <w:rPr>
                <w:b/>
                <w:sz w:val="18"/>
              </w:rPr>
            </w:pPr>
            <w:r>
              <w:rPr>
                <w:b/>
                <w:sz w:val="18"/>
              </w:rPr>
              <w:t>Real Interest Rate</w:t>
            </w:r>
          </w:p>
        </w:tc>
      </w:tr>
      <w:tr>
        <w:trPr/>
        <w:tc>
          <w:tcPr>
            <w:tcW w:w="628" w:type="dxa"/>
            <w:tcBorders>
              <w:start w:val="single" w:sz="12" w:space="0" w:color="000000"/>
            </w:tcBorders>
          </w:tcPr>
          <w:p>
            <w:pPr>
              <w:pStyle w:val="Normal"/>
              <w:snapToGrid w:val="false"/>
              <w:jc w:val="center"/>
              <w:rPr>
                <w:b/>
                <w:sz w:val="14"/>
              </w:rPr>
            </w:pPr>
            <w:r>
              <w:rPr>
                <w:b/>
                <w:sz w:val="14"/>
              </w:rPr>
            </w:r>
          </w:p>
        </w:tc>
        <w:tc>
          <w:tcPr>
            <w:tcW w:w="396" w:type="dxa"/>
            <w:tcBorders>
              <w:bottom w:val="single" w:sz="6" w:space="0" w:color="000000"/>
              <w:end w:val="single" w:sz="6" w:space="0" w:color="000000"/>
            </w:tcBorders>
          </w:tcPr>
          <w:p>
            <w:pPr>
              <w:pStyle w:val="Normal"/>
              <w:snapToGrid w:val="false"/>
              <w:ind w:hanging="708" w:start="708" w:end="0"/>
              <w:rPr>
                <w:b/>
                <w:sz w:val="14"/>
              </w:rPr>
            </w:pPr>
            <w:r>
              <w:rPr>
                <w:b/>
                <w:sz w:val="14"/>
              </w:rPr>
            </w:r>
          </w:p>
        </w:tc>
        <w:tc>
          <w:tcPr>
            <w:tcW w:w="649" w:type="dxa"/>
            <w:tcBorders>
              <w:top w:val="single" w:sz="6" w:space="0" w:color="000000"/>
              <w:end w:val="single" w:sz="6" w:space="0" w:color="000000"/>
            </w:tcBorders>
          </w:tcPr>
          <w:p>
            <w:pPr>
              <w:pStyle w:val="Normal"/>
              <w:jc w:val="center"/>
              <w:rPr>
                <w:sz w:val="16"/>
              </w:rPr>
            </w:pPr>
            <w:r>
              <w:rPr>
                <w:sz w:val="16"/>
              </w:rPr>
              <w:t>% month-ly</w:t>
            </w:r>
          </w:p>
        </w:tc>
        <w:tc>
          <w:tcPr>
            <w:tcW w:w="850" w:type="dxa"/>
            <w:tcBorders>
              <w:top w:val="single" w:sz="6" w:space="0" w:color="000000"/>
              <w:start w:val="single" w:sz="6" w:space="0" w:color="000000"/>
              <w:end w:val="single" w:sz="6" w:space="0" w:color="000000"/>
            </w:tcBorders>
          </w:tcPr>
          <w:p>
            <w:pPr>
              <w:pStyle w:val="Normal"/>
              <w:jc w:val="center"/>
              <w:rPr>
                <w:sz w:val="16"/>
              </w:rPr>
            </w:pPr>
            <w:r>
              <w:rPr>
                <w:sz w:val="16"/>
              </w:rPr>
              <w:t>Accum. 12 months</w:t>
            </w:r>
          </w:p>
        </w:tc>
        <w:tc>
          <w:tcPr>
            <w:tcW w:w="851" w:type="dxa"/>
            <w:tcBorders>
              <w:top w:val="single" w:sz="6" w:space="0" w:color="000000"/>
              <w:start w:val="single" w:sz="6" w:space="0" w:color="000000"/>
              <w:end w:val="single" w:sz="6" w:space="0" w:color="000000"/>
            </w:tcBorders>
          </w:tcPr>
          <w:p>
            <w:pPr>
              <w:pStyle w:val="Normal"/>
              <w:jc w:val="center"/>
              <w:rPr>
                <w:sz w:val="16"/>
              </w:rPr>
            </w:pPr>
            <w:r>
              <w:rPr>
                <w:sz w:val="16"/>
              </w:rPr>
              <w:t>% annual-ized</w:t>
            </w:r>
          </w:p>
        </w:tc>
        <w:tc>
          <w:tcPr>
            <w:tcW w:w="724" w:type="dxa"/>
            <w:gridSpan w:val="2"/>
            <w:tcBorders>
              <w:top w:val="single" w:sz="6" w:space="0" w:color="000000"/>
              <w:start w:val="single" w:sz="6" w:space="0" w:color="000000"/>
              <w:end w:val="single" w:sz="6" w:space="0" w:color="000000"/>
            </w:tcBorders>
          </w:tcPr>
          <w:p>
            <w:pPr>
              <w:pStyle w:val="Normal"/>
              <w:jc w:val="center"/>
              <w:rPr>
                <w:sz w:val="16"/>
              </w:rPr>
            </w:pPr>
            <w:r>
              <w:rPr>
                <w:sz w:val="16"/>
              </w:rPr>
              <w:t>% month-ly</w:t>
            </w:r>
          </w:p>
        </w:tc>
        <w:tc>
          <w:tcPr>
            <w:tcW w:w="723" w:type="dxa"/>
            <w:gridSpan w:val="2"/>
            <w:tcBorders>
              <w:top w:val="single" w:sz="6" w:space="0" w:color="000000"/>
              <w:start w:val="single" w:sz="6" w:space="0" w:color="000000"/>
              <w:end w:val="single" w:sz="6" w:space="0" w:color="000000"/>
            </w:tcBorders>
          </w:tcPr>
          <w:p>
            <w:pPr>
              <w:pStyle w:val="Normal"/>
              <w:jc w:val="center"/>
              <w:rPr>
                <w:sz w:val="16"/>
              </w:rPr>
            </w:pPr>
            <w:r>
              <w:rPr>
                <w:sz w:val="16"/>
              </w:rPr>
              <w:t>Accum. 12 months</w:t>
            </w:r>
          </w:p>
        </w:tc>
        <w:tc>
          <w:tcPr>
            <w:tcW w:w="679" w:type="dxa"/>
            <w:tcBorders>
              <w:top w:val="single" w:sz="6" w:space="0" w:color="000000"/>
              <w:start w:val="single" w:sz="6" w:space="0" w:color="000000"/>
              <w:end w:val="single" w:sz="6" w:space="0" w:color="000000"/>
            </w:tcBorders>
          </w:tcPr>
          <w:p>
            <w:pPr>
              <w:pStyle w:val="Normal"/>
              <w:jc w:val="center"/>
              <w:rPr>
                <w:sz w:val="16"/>
              </w:rPr>
            </w:pPr>
            <w:r>
              <w:rPr>
                <w:sz w:val="16"/>
              </w:rPr>
              <w:t>% annual-ized</w:t>
            </w:r>
          </w:p>
        </w:tc>
        <w:tc>
          <w:tcPr>
            <w:tcW w:w="850" w:type="dxa"/>
            <w:tcBorders>
              <w:top w:val="single" w:sz="6" w:space="0" w:color="000000"/>
              <w:start w:val="single" w:sz="6" w:space="0" w:color="000000"/>
              <w:end w:val="single" w:sz="6" w:space="0" w:color="000000"/>
            </w:tcBorders>
          </w:tcPr>
          <w:p>
            <w:pPr>
              <w:pStyle w:val="Normal"/>
              <w:jc w:val="center"/>
              <w:rPr>
                <w:sz w:val="16"/>
              </w:rPr>
            </w:pPr>
            <w:r>
              <w:rPr>
                <w:sz w:val="16"/>
              </w:rPr>
              <w:t>R$/US$</w:t>
            </w:r>
          </w:p>
          <w:p>
            <w:pPr>
              <w:pStyle w:val="Normal"/>
              <w:jc w:val="center"/>
              <w:rPr>
                <w:sz w:val="16"/>
              </w:rPr>
            </w:pPr>
            <w:r>
              <w:rPr>
                <w:sz w:val="16"/>
              </w:rPr>
              <w:t>end of period</w:t>
            </w:r>
          </w:p>
        </w:tc>
        <w:tc>
          <w:tcPr>
            <w:tcW w:w="709" w:type="dxa"/>
            <w:tcBorders>
              <w:top w:val="single" w:sz="6" w:space="0" w:color="000000"/>
              <w:start w:val="single" w:sz="6" w:space="0" w:color="000000"/>
              <w:end w:val="single" w:sz="6" w:space="0" w:color="000000"/>
            </w:tcBorders>
          </w:tcPr>
          <w:p>
            <w:pPr>
              <w:pStyle w:val="Normal"/>
              <w:jc w:val="center"/>
              <w:rPr>
                <w:sz w:val="16"/>
              </w:rPr>
            </w:pPr>
            <w:r>
              <w:rPr>
                <w:sz w:val="16"/>
              </w:rPr>
              <w:t>% month-ly</w:t>
            </w:r>
          </w:p>
        </w:tc>
        <w:tc>
          <w:tcPr>
            <w:tcW w:w="709" w:type="dxa"/>
            <w:tcBorders>
              <w:top w:val="single" w:sz="6" w:space="0" w:color="000000"/>
              <w:start w:val="single" w:sz="6" w:space="0" w:color="000000"/>
              <w:end w:val="single" w:sz="6" w:space="0" w:color="000000"/>
            </w:tcBorders>
          </w:tcPr>
          <w:p>
            <w:pPr>
              <w:pStyle w:val="Normal"/>
              <w:jc w:val="center"/>
              <w:rPr>
                <w:sz w:val="16"/>
              </w:rPr>
            </w:pPr>
            <w:r>
              <w:rPr>
                <w:sz w:val="16"/>
              </w:rPr>
              <w:t>Accum. 12 months</w:t>
            </w:r>
          </w:p>
        </w:tc>
        <w:tc>
          <w:tcPr>
            <w:tcW w:w="850" w:type="dxa"/>
            <w:tcBorders>
              <w:top w:val="single" w:sz="6" w:space="0" w:color="000000"/>
              <w:start w:val="single" w:sz="6" w:space="0" w:color="000000"/>
              <w:end w:val="single" w:sz="6" w:space="0" w:color="000000"/>
            </w:tcBorders>
          </w:tcPr>
          <w:p>
            <w:pPr>
              <w:pStyle w:val="Normal"/>
              <w:jc w:val="center"/>
              <w:rPr>
                <w:sz w:val="16"/>
              </w:rPr>
            </w:pPr>
            <w:r>
              <w:rPr>
                <w:sz w:val="16"/>
              </w:rPr>
              <w:t>% annual-ized</w:t>
            </w:r>
          </w:p>
        </w:tc>
        <w:tc>
          <w:tcPr>
            <w:tcW w:w="851" w:type="dxa"/>
            <w:tcBorders>
              <w:top w:val="single" w:sz="6" w:space="0" w:color="000000"/>
              <w:start w:val="single" w:sz="6" w:space="0" w:color="000000"/>
              <w:end w:val="single" w:sz="12" w:space="0" w:color="000000"/>
            </w:tcBorders>
          </w:tcPr>
          <w:p>
            <w:pPr>
              <w:pStyle w:val="Normal"/>
              <w:jc w:val="center"/>
              <w:rPr>
                <w:sz w:val="16"/>
              </w:rPr>
            </w:pPr>
            <w:r>
              <w:rPr>
                <w:sz w:val="16"/>
              </w:rPr>
              <w:t xml:space="preserve">% </w:t>
            </w:r>
          </w:p>
          <w:p>
            <w:pPr>
              <w:pStyle w:val="Normal"/>
              <w:jc w:val="center"/>
              <w:rPr>
                <w:sz w:val="16"/>
              </w:rPr>
            </w:pPr>
            <w:r>
              <w:rPr>
                <w:sz w:val="16"/>
              </w:rPr>
              <w:t xml:space="preserve">annual-ized </w:t>
            </w:r>
          </w:p>
        </w:tc>
      </w:tr>
      <w:tr>
        <w:trPr/>
        <w:tc>
          <w:tcPr>
            <w:tcW w:w="628" w:type="dxa"/>
            <w:tcBorders>
              <w:top w:val="single" w:sz="6" w:space="0" w:color="000000"/>
              <w:start w:val="single" w:sz="12" w:space="0" w:color="000000"/>
            </w:tcBorders>
          </w:tcPr>
          <w:p>
            <w:pPr>
              <w:pStyle w:val="Normal"/>
              <w:jc w:val="center"/>
              <w:rPr>
                <w:b/>
                <w:sz w:val="16"/>
              </w:rPr>
            </w:pPr>
            <w:r>
              <w:rPr>
                <w:b/>
                <w:sz w:val="16"/>
              </w:rPr>
              <w:t>1994</w:t>
            </w:r>
          </w:p>
        </w:tc>
        <w:tc>
          <w:tcPr>
            <w:tcW w:w="396" w:type="dxa"/>
            <w:tcBorders>
              <w:start w:val="single" w:sz="6" w:space="0" w:color="000000"/>
              <w:end w:val="single" w:sz="6" w:space="0" w:color="000000"/>
            </w:tcBorders>
          </w:tcPr>
          <w:p>
            <w:pPr>
              <w:pStyle w:val="Normal"/>
              <w:snapToGrid w:val="false"/>
              <w:jc w:val="center"/>
              <w:rPr>
                <w:b/>
                <w:sz w:val="14"/>
              </w:rPr>
            </w:pPr>
            <w:r>
              <w:rPr>
                <w:b/>
                <w:sz w:val="14"/>
              </w:rPr>
            </w:r>
          </w:p>
        </w:tc>
        <w:tc>
          <w:tcPr>
            <w:tcW w:w="649" w:type="dxa"/>
            <w:tcBorders>
              <w:top w:val="single" w:sz="6" w:space="0" w:color="000000"/>
            </w:tcBorders>
          </w:tcPr>
          <w:p>
            <w:pPr>
              <w:pStyle w:val="Normal"/>
              <w:jc w:val="center"/>
              <w:rPr>
                <w:sz w:val="18"/>
              </w:rPr>
            </w:pPr>
            <w:r>
              <w:rPr>
                <w:sz w:val="18"/>
              </w:rPr>
              <w:t>22.99</w:t>
            </w:r>
          </w:p>
        </w:tc>
        <w:tc>
          <w:tcPr>
            <w:tcW w:w="850" w:type="dxa"/>
            <w:tcBorders>
              <w:top w:val="single" w:sz="6" w:space="0" w:color="000000"/>
            </w:tcBorders>
          </w:tcPr>
          <w:p>
            <w:pPr>
              <w:pStyle w:val="Normal"/>
              <w:jc w:val="center"/>
              <w:rPr>
                <w:sz w:val="18"/>
              </w:rPr>
            </w:pPr>
            <w:r>
              <w:rPr>
                <w:sz w:val="18"/>
              </w:rPr>
              <w:t>916.4</w:t>
            </w:r>
          </w:p>
        </w:tc>
        <w:tc>
          <w:tcPr>
            <w:tcW w:w="851" w:type="dxa"/>
            <w:tcBorders>
              <w:top w:val="single" w:sz="6" w:space="0" w:color="000000"/>
            </w:tcBorders>
          </w:tcPr>
          <w:p>
            <w:pPr>
              <w:pStyle w:val="Normal"/>
              <w:jc w:val="center"/>
              <w:rPr>
                <w:sz w:val="17"/>
              </w:rPr>
            </w:pPr>
            <w:r>
              <w:rPr>
                <w:sz w:val="17"/>
              </w:rPr>
              <w:t>1,098.0</w:t>
            </w:r>
          </w:p>
        </w:tc>
        <w:tc>
          <w:tcPr>
            <w:tcW w:w="724" w:type="dxa"/>
            <w:gridSpan w:val="2"/>
            <w:tcBorders>
              <w:top w:val="single" w:sz="6" w:space="0" w:color="000000"/>
            </w:tcBorders>
          </w:tcPr>
          <w:p>
            <w:pPr>
              <w:pStyle w:val="Normal"/>
              <w:jc w:val="center"/>
              <w:rPr>
                <w:sz w:val="18"/>
              </w:rPr>
            </w:pPr>
            <w:r>
              <w:rPr>
                <w:sz w:val="18"/>
              </w:rPr>
              <w:t>25.22</w:t>
            </w:r>
          </w:p>
        </w:tc>
        <w:tc>
          <w:tcPr>
            <w:tcW w:w="723" w:type="dxa"/>
            <w:gridSpan w:val="2"/>
            <w:tcBorders>
              <w:top w:val="single" w:sz="6" w:space="0" w:color="000000"/>
            </w:tcBorders>
          </w:tcPr>
          <w:p>
            <w:pPr>
              <w:pStyle w:val="Normal"/>
              <w:jc w:val="center"/>
              <w:rPr>
                <w:sz w:val="18"/>
              </w:rPr>
            </w:pPr>
            <w:r>
              <w:rPr>
                <w:sz w:val="18"/>
              </w:rPr>
              <w:t>1153</w:t>
            </w:r>
          </w:p>
        </w:tc>
        <w:tc>
          <w:tcPr>
            <w:tcW w:w="679" w:type="dxa"/>
            <w:tcBorders>
              <w:top w:val="single" w:sz="6" w:space="0" w:color="000000"/>
            </w:tcBorders>
          </w:tcPr>
          <w:p>
            <w:pPr>
              <w:pStyle w:val="Normal"/>
              <w:jc w:val="center"/>
              <w:rPr>
                <w:sz w:val="18"/>
              </w:rPr>
            </w:pPr>
            <w:r>
              <w:rPr>
                <w:sz w:val="18"/>
              </w:rPr>
              <w:t>1386</w:t>
            </w:r>
          </w:p>
        </w:tc>
        <w:tc>
          <w:tcPr>
            <w:tcW w:w="850" w:type="dxa"/>
            <w:tcBorders>
              <w:top w:val="single" w:sz="6" w:space="0" w:color="000000"/>
            </w:tcBorders>
          </w:tcPr>
          <w:p>
            <w:pPr>
              <w:pStyle w:val="Normal"/>
              <w:jc w:val="center"/>
              <w:rPr>
                <w:sz w:val="18"/>
              </w:rPr>
            </w:pPr>
            <w:r>
              <w:rPr>
                <w:sz w:val="18"/>
              </w:rPr>
              <w:t>0.84</w:t>
            </w:r>
          </w:p>
        </w:tc>
        <w:tc>
          <w:tcPr>
            <w:tcW w:w="709" w:type="dxa"/>
            <w:tcBorders>
              <w:top w:val="single" w:sz="6" w:space="0" w:color="000000"/>
            </w:tcBorders>
          </w:tcPr>
          <w:p>
            <w:pPr>
              <w:pStyle w:val="Normal"/>
              <w:jc w:val="center"/>
              <w:rPr>
                <w:sz w:val="18"/>
              </w:rPr>
            </w:pPr>
            <w:r>
              <w:rPr>
                <w:sz w:val="18"/>
              </w:rPr>
              <w:t>17.78</w:t>
            </w:r>
          </w:p>
        </w:tc>
        <w:tc>
          <w:tcPr>
            <w:tcW w:w="709" w:type="dxa"/>
            <w:tcBorders>
              <w:top w:val="single" w:sz="6" w:space="0" w:color="000000"/>
            </w:tcBorders>
          </w:tcPr>
          <w:p>
            <w:pPr>
              <w:pStyle w:val="Normal"/>
              <w:jc w:val="center"/>
              <w:rPr>
                <w:sz w:val="18"/>
              </w:rPr>
            </w:pPr>
            <w:r>
              <w:rPr>
                <w:sz w:val="18"/>
              </w:rPr>
              <w:t>613</w:t>
            </w:r>
          </w:p>
        </w:tc>
        <w:tc>
          <w:tcPr>
            <w:tcW w:w="850" w:type="dxa"/>
            <w:tcBorders>
              <w:top w:val="single" w:sz="6" w:space="0" w:color="000000"/>
            </w:tcBorders>
          </w:tcPr>
          <w:p>
            <w:pPr>
              <w:pStyle w:val="Normal"/>
              <w:jc w:val="center"/>
              <w:rPr>
                <w:sz w:val="18"/>
              </w:rPr>
            </w:pPr>
            <w:r>
              <w:rPr>
                <w:sz w:val="18"/>
              </w:rPr>
              <w:t>613</w:t>
            </w:r>
          </w:p>
        </w:tc>
        <w:tc>
          <w:tcPr>
            <w:tcW w:w="851" w:type="dxa"/>
            <w:tcBorders>
              <w:top w:val="single" w:sz="6" w:space="0" w:color="000000"/>
              <w:end w:val="single" w:sz="12" w:space="0" w:color="000000"/>
            </w:tcBorders>
          </w:tcPr>
          <w:p>
            <w:pPr>
              <w:pStyle w:val="Normal"/>
              <w:jc w:val="center"/>
              <w:rPr>
                <w:sz w:val="18"/>
              </w:rPr>
            </w:pPr>
            <w:r>
              <w:rPr>
                <w:sz w:val="18"/>
              </w:rPr>
              <w:t>24.1</w:t>
            </w:r>
          </w:p>
        </w:tc>
      </w:tr>
      <w:tr>
        <w:trPr/>
        <w:tc>
          <w:tcPr>
            <w:tcW w:w="628" w:type="dxa"/>
            <w:tcBorders>
              <w:start w:val="single" w:sz="12" w:space="0" w:color="000000"/>
            </w:tcBorders>
          </w:tcPr>
          <w:p>
            <w:pPr>
              <w:pStyle w:val="Normal"/>
              <w:jc w:val="center"/>
              <w:rPr>
                <w:b/>
                <w:sz w:val="16"/>
              </w:rPr>
            </w:pPr>
            <w:r>
              <w:rPr>
                <w:b/>
                <w:sz w:val="16"/>
              </w:rPr>
              <w:t>1995</w:t>
            </w:r>
          </w:p>
        </w:tc>
        <w:tc>
          <w:tcPr>
            <w:tcW w:w="396" w:type="dxa"/>
            <w:tcBorders>
              <w:start w:val="single" w:sz="6" w:space="0" w:color="000000"/>
              <w:end w:val="single" w:sz="6" w:space="0" w:color="000000"/>
            </w:tcBorders>
          </w:tcPr>
          <w:p>
            <w:pPr>
              <w:pStyle w:val="Normal"/>
              <w:snapToGrid w:val="false"/>
              <w:jc w:val="center"/>
              <w:rPr>
                <w:b/>
                <w:sz w:val="14"/>
              </w:rPr>
            </w:pPr>
            <w:r>
              <w:rPr>
                <w:b/>
                <w:sz w:val="14"/>
              </w:rPr>
            </w:r>
          </w:p>
        </w:tc>
        <w:tc>
          <w:tcPr>
            <w:tcW w:w="649" w:type="dxa"/>
            <w:tcBorders/>
          </w:tcPr>
          <w:p>
            <w:pPr>
              <w:pStyle w:val="Normal"/>
              <w:jc w:val="center"/>
              <w:rPr>
                <w:sz w:val="18"/>
              </w:rPr>
            </w:pPr>
            <w:r>
              <w:rPr>
                <w:sz w:val="18"/>
              </w:rPr>
              <w:t>1.70</w:t>
            </w:r>
          </w:p>
        </w:tc>
        <w:tc>
          <w:tcPr>
            <w:tcW w:w="850" w:type="dxa"/>
            <w:tcBorders/>
          </w:tcPr>
          <w:p>
            <w:pPr>
              <w:pStyle w:val="Normal"/>
              <w:jc w:val="center"/>
              <w:rPr>
                <w:sz w:val="18"/>
              </w:rPr>
            </w:pPr>
            <w:r>
              <w:rPr>
                <w:sz w:val="18"/>
              </w:rPr>
              <w:t>22.4</w:t>
            </w:r>
          </w:p>
        </w:tc>
        <w:tc>
          <w:tcPr>
            <w:tcW w:w="851" w:type="dxa"/>
            <w:tcBorders/>
          </w:tcPr>
          <w:p>
            <w:pPr>
              <w:pStyle w:val="Normal"/>
              <w:jc w:val="center"/>
              <w:rPr>
                <w:sz w:val="18"/>
              </w:rPr>
            </w:pPr>
            <w:r>
              <w:rPr>
                <w:sz w:val="18"/>
              </w:rPr>
              <w:t>22.4</w:t>
            </w:r>
          </w:p>
        </w:tc>
        <w:tc>
          <w:tcPr>
            <w:tcW w:w="724" w:type="dxa"/>
            <w:gridSpan w:val="2"/>
            <w:tcBorders/>
          </w:tcPr>
          <w:p>
            <w:pPr>
              <w:pStyle w:val="Normal"/>
              <w:jc w:val="center"/>
              <w:rPr>
                <w:sz w:val="18"/>
              </w:rPr>
            </w:pPr>
            <w:r>
              <w:rPr>
                <w:sz w:val="18"/>
              </w:rPr>
              <w:t>3.61</w:t>
            </w:r>
          </w:p>
        </w:tc>
        <w:tc>
          <w:tcPr>
            <w:tcW w:w="723" w:type="dxa"/>
            <w:gridSpan w:val="2"/>
            <w:tcBorders/>
          </w:tcPr>
          <w:p>
            <w:pPr>
              <w:pStyle w:val="Normal"/>
              <w:jc w:val="center"/>
              <w:rPr>
                <w:sz w:val="18"/>
              </w:rPr>
            </w:pPr>
            <w:r>
              <w:rPr>
                <w:sz w:val="18"/>
              </w:rPr>
              <w:t>53.0</w:t>
            </w:r>
          </w:p>
        </w:tc>
        <w:tc>
          <w:tcPr>
            <w:tcW w:w="679" w:type="dxa"/>
            <w:tcBorders/>
          </w:tcPr>
          <w:p>
            <w:pPr>
              <w:pStyle w:val="Normal"/>
              <w:jc w:val="center"/>
              <w:rPr>
                <w:sz w:val="18"/>
              </w:rPr>
            </w:pPr>
            <w:r>
              <w:rPr>
                <w:sz w:val="18"/>
              </w:rPr>
              <w:t>53.0</w:t>
            </w:r>
          </w:p>
        </w:tc>
        <w:tc>
          <w:tcPr>
            <w:tcW w:w="850" w:type="dxa"/>
            <w:tcBorders/>
          </w:tcPr>
          <w:p>
            <w:pPr>
              <w:pStyle w:val="Normal"/>
              <w:jc w:val="center"/>
              <w:rPr>
                <w:sz w:val="18"/>
              </w:rPr>
            </w:pPr>
            <w:r>
              <w:rPr>
                <w:sz w:val="18"/>
              </w:rPr>
              <w:t>0.97</w:t>
            </w:r>
          </w:p>
        </w:tc>
        <w:tc>
          <w:tcPr>
            <w:tcW w:w="709" w:type="dxa"/>
            <w:tcBorders/>
          </w:tcPr>
          <w:p>
            <w:pPr>
              <w:pStyle w:val="Normal"/>
              <w:jc w:val="center"/>
              <w:rPr>
                <w:sz w:val="18"/>
              </w:rPr>
            </w:pPr>
            <w:r>
              <w:rPr>
                <w:sz w:val="18"/>
              </w:rPr>
              <w:t>1.18</w:t>
            </w:r>
          </w:p>
        </w:tc>
        <w:tc>
          <w:tcPr>
            <w:tcW w:w="709" w:type="dxa"/>
            <w:tcBorders/>
          </w:tcPr>
          <w:p>
            <w:pPr>
              <w:pStyle w:val="Normal"/>
              <w:jc w:val="center"/>
              <w:rPr>
                <w:sz w:val="18"/>
              </w:rPr>
            </w:pPr>
            <w:r>
              <w:rPr>
                <w:sz w:val="18"/>
              </w:rPr>
              <w:t>15.2</w:t>
            </w:r>
          </w:p>
        </w:tc>
        <w:tc>
          <w:tcPr>
            <w:tcW w:w="850" w:type="dxa"/>
            <w:tcBorders/>
          </w:tcPr>
          <w:p>
            <w:pPr>
              <w:pStyle w:val="Normal"/>
              <w:jc w:val="center"/>
              <w:rPr>
                <w:sz w:val="18"/>
              </w:rPr>
            </w:pPr>
            <w:r>
              <w:rPr>
                <w:sz w:val="18"/>
              </w:rPr>
              <w:t>15.2</w:t>
            </w:r>
          </w:p>
        </w:tc>
        <w:tc>
          <w:tcPr>
            <w:tcW w:w="851" w:type="dxa"/>
            <w:tcBorders>
              <w:end w:val="single" w:sz="12" w:space="0" w:color="000000"/>
            </w:tcBorders>
          </w:tcPr>
          <w:p>
            <w:pPr>
              <w:pStyle w:val="Normal"/>
              <w:jc w:val="center"/>
              <w:rPr>
                <w:sz w:val="18"/>
              </w:rPr>
            </w:pPr>
            <w:r>
              <w:rPr>
                <w:sz w:val="18"/>
              </w:rPr>
              <w:t>25.0</w:t>
            </w:r>
          </w:p>
        </w:tc>
      </w:tr>
      <w:tr>
        <w:trPr/>
        <w:tc>
          <w:tcPr>
            <w:tcW w:w="628" w:type="dxa"/>
            <w:tcBorders>
              <w:start w:val="single" w:sz="12" w:space="0" w:color="000000"/>
            </w:tcBorders>
          </w:tcPr>
          <w:p>
            <w:pPr>
              <w:pStyle w:val="Normal"/>
              <w:jc w:val="center"/>
              <w:rPr>
                <w:b/>
                <w:sz w:val="16"/>
              </w:rPr>
            </w:pPr>
            <w:r>
              <w:rPr>
                <w:b/>
                <w:sz w:val="16"/>
              </w:rPr>
              <w:t>1996</w:t>
            </w:r>
          </w:p>
        </w:tc>
        <w:tc>
          <w:tcPr>
            <w:tcW w:w="396" w:type="dxa"/>
            <w:tcBorders>
              <w:start w:val="single" w:sz="6" w:space="0" w:color="000000"/>
              <w:end w:val="single" w:sz="6" w:space="0" w:color="000000"/>
            </w:tcBorders>
          </w:tcPr>
          <w:p>
            <w:pPr>
              <w:pStyle w:val="Normal"/>
              <w:snapToGrid w:val="false"/>
              <w:jc w:val="center"/>
              <w:rPr>
                <w:b/>
                <w:sz w:val="14"/>
              </w:rPr>
            </w:pPr>
            <w:r>
              <w:rPr>
                <w:b/>
                <w:sz w:val="14"/>
              </w:rPr>
            </w:r>
          </w:p>
        </w:tc>
        <w:tc>
          <w:tcPr>
            <w:tcW w:w="649" w:type="dxa"/>
            <w:tcBorders/>
          </w:tcPr>
          <w:p>
            <w:pPr>
              <w:pStyle w:val="Normal"/>
              <w:jc w:val="center"/>
              <w:rPr>
                <w:color w:val="000000"/>
                <w:sz w:val="18"/>
              </w:rPr>
            </w:pPr>
            <w:r>
              <w:rPr>
                <w:color w:val="000000"/>
                <w:sz w:val="18"/>
              </w:rPr>
              <w:t>0.77</w:t>
            </w:r>
          </w:p>
        </w:tc>
        <w:tc>
          <w:tcPr>
            <w:tcW w:w="850" w:type="dxa"/>
            <w:tcBorders/>
          </w:tcPr>
          <w:p>
            <w:pPr>
              <w:pStyle w:val="Normal"/>
              <w:jc w:val="center"/>
              <w:rPr>
                <w:sz w:val="18"/>
              </w:rPr>
            </w:pPr>
            <w:r>
              <w:rPr>
                <w:sz w:val="18"/>
              </w:rPr>
              <w:t>9.6</w:t>
            </w:r>
          </w:p>
        </w:tc>
        <w:tc>
          <w:tcPr>
            <w:tcW w:w="851" w:type="dxa"/>
            <w:tcBorders/>
          </w:tcPr>
          <w:p>
            <w:pPr>
              <w:pStyle w:val="Normal"/>
              <w:jc w:val="center"/>
              <w:rPr>
                <w:sz w:val="18"/>
              </w:rPr>
            </w:pPr>
            <w:r>
              <w:rPr>
                <w:sz w:val="18"/>
              </w:rPr>
              <w:t>9.6</w:t>
            </w:r>
          </w:p>
        </w:tc>
        <w:tc>
          <w:tcPr>
            <w:tcW w:w="724" w:type="dxa"/>
            <w:gridSpan w:val="2"/>
            <w:tcBorders/>
          </w:tcPr>
          <w:p>
            <w:pPr>
              <w:pStyle w:val="Normal"/>
              <w:jc w:val="center"/>
              <w:rPr>
                <w:color w:val="000000"/>
                <w:sz w:val="18"/>
              </w:rPr>
            </w:pPr>
            <w:r>
              <w:rPr>
                <w:color w:val="000000"/>
                <w:sz w:val="18"/>
              </w:rPr>
              <w:t>2.04</w:t>
            </w:r>
          </w:p>
        </w:tc>
        <w:tc>
          <w:tcPr>
            <w:tcW w:w="723" w:type="dxa"/>
            <w:gridSpan w:val="2"/>
            <w:tcBorders/>
          </w:tcPr>
          <w:p>
            <w:pPr>
              <w:pStyle w:val="Normal"/>
              <w:jc w:val="center"/>
              <w:rPr>
                <w:sz w:val="18"/>
              </w:rPr>
            </w:pPr>
            <w:r>
              <w:rPr>
                <w:sz w:val="18"/>
              </w:rPr>
              <w:t>27.5</w:t>
            </w:r>
          </w:p>
        </w:tc>
        <w:tc>
          <w:tcPr>
            <w:tcW w:w="679" w:type="dxa"/>
            <w:tcBorders/>
          </w:tcPr>
          <w:p>
            <w:pPr>
              <w:pStyle w:val="Normal"/>
              <w:jc w:val="center"/>
              <w:rPr>
                <w:sz w:val="18"/>
              </w:rPr>
            </w:pPr>
            <w:r>
              <w:rPr>
                <w:sz w:val="18"/>
              </w:rPr>
              <w:t>27.4</w:t>
            </w:r>
          </w:p>
        </w:tc>
        <w:tc>
          <w:tcPr>
            <w:tcW w:w="850" w:type="dxa"/>
            <w:tcBorders/>
          </w:tcPr>
          <w:p>
            <w:pPr>
              <w:pStyle w:val="Normal"/>
              <w:jc w:val="center"/>
              <w:rPr>
                <w:color w:val="000000"/>
                <w:sz w:val="18"/>
              </w:rPr>
            </w:pPr>
            <w:r>
              <w:rPr>
                <w:color w:val="000000"/>
                <w:sz w:val="18"/>
              </w:rPr>
              <w:t>1.04</w:t>
            </w:r>
          </w:p>
        </w:tc>
        <w:tc>
          <w:tcPr>
            <w:tcW w:w="709" w:type="dxa"/>
            <w:tcBorders/>
          </w:tcPr>
          <w:p>
            <w:pPr>
              <w:pStyle w:val="Normal"/>
              <w:jc w:val="center"/>
              <w:rPr>
                <w:color w:val="000000"/>
                <w:sz w:val="18"/>
              </w:rPr>
            </w:pPr>
            <w:r>
              <w:rPr>
                <w:color w:val="000000"/>
                <w:sz w:val="18"/>
              </w:rPr>
              <w:t>0.55</w:t>
            </w:r>
          </w:p>
        </w:tc>
        <w:tc>
          <w:tcPr>
            <w:tcW w:w="709" w:type="dxa"/>
            <w:tcBorders/>
          </w:tcPr>
          <w:p>
            <w:pPr>
              <w:pStyle w:val="Normal"/>
              <w:jc w:val="center"/>
              <w:rPr>
                <w:color w:val="000000"/>
                <w:sz w:val="18"/>
              </w:rPr>
            </w:pPr>
            <w:r>
              <w:rPr>
                <w:color w:val="000000"/>
                <w:sz w:val="18"/>
              </w:rPr>
              <w:t>6.9</w:t>
            </w:r>
          </w:p>
        </w:tc>
        <w:tc>
          <w:tcPr>
            <w:tcW w:w="850" w:type="dxa"/>
            <w:tcBorders/>
          </w:tcPr>
          <w:p>
            <w:pPr>
              <w:pStyle w:val="Normal"/>
              <w:jc w:val="center"/>
              <w:rPr>
                <w:color w:val="000000"/>
                <w:sz w:val="18"/>
              </w:rPr>
            </w:pPr>
            <w:r>
              <w:rPr>
                <w:color w:val="000000"/>
                <w:sz w:val="18"/>
              </w:rPr>
              <w:t>6.9</w:t>
            </w:r>
          </w:p>
        </w:tc>
        <w:tc>
          <w:tcPr>
            <w:tcW w:w="851" w:type="dxa"/>
            <w:tcBorders>
              <w:end w:val="single" w:sz="12" w:space="0" w:color="000000"/>
            </w:tcBorders>
          </w:tcPr>
          <w:p>
            <w:pPr>
              <w:pStyle w:val="Normal"/>
              <w:jc w:val="center"/>
              <w:rPr>
                <w:sz w:val="18"/>
              </w:rPr>
            </w:pPr>
            <w:r>
              <w:rPr>
                <w:sz w:val="18"/>
              </w:rPr>
              <w:t>16.2</w:t>
            </w:r>
          </w:p>
        </w:tc>
      </w:tr>
      <w:tr>
        <w:trPr/>
        <w:tc>
          <w:tcPr>
            <w:tcW w:w="628" w:type="dxa"/>
            <w:tcBorders>
              <w:start w:val="single" w:sz="12" w:space="0" w:color="000000"/>
            </w:tcBorders>
          </w:tcPr>
          <w:p>
            <w:pPr>
              <w:pStyle w:val="Normal"/>
              <w:jc w:val="center"/>
              <w:rPr>
                <w:b/>
                <w:sz w:val="16"/>
              </w:rPr>
            </w:pPr>
            <w:r>
              <w:rPr>
                <w:b/>
                <w:sz w:val="16"/>
              </w:rPr>
              <w:t>1997</w:t>
            </w:r>
          </w:p>
        </w:tc>
        <w:tc>
          <w:tcPr>
            <w:tcW w:w="396" w:type="dxa"/>
            <w:tcBorders>
              <w:start w:val="single" w:sz="6" w:space="0" w:color="000000"/>
              <w:end w:val="single" w:sz="6" w:space="0" w:color="000000"/>
            </w:tcBorders>
          </w:tcPr>
          <w:p>
            <w:pPr>
              <w:pStyle w:val="Normal"/>
              <w:snapToGrid w:val="false"/>
              <w:jc w:val="center"/>
              <w:rPr>
                <w:b/>
                <w:sz w:val="14"/>
              </w:rPr>
            </w:pPr>
            <w:r>
              <w:rPr>
                <w:b/>
                <w:sz w:val="14"/>
              </w:rPr>
            </w:r>
          </w:p>
        </w:tc>
        <w:tc>
          <w:tcPr>
            <w:tcW w:w="649" w:type="dxa"/>
            <w:tcBorders/>
          </w:tcPr>
          <w:p>
            <w:pPr>
              <w:pStyle w:val="Normal"/>
              <w:jc w:val="center"/>
              <w:rPr>
                <w:color w:val="000000"/>
                <w:sz w:val="18"/>
              </w:rPr>
            </w:pPr>
            <w:r>
              <w:rPr>
                <w:color w:val="000000"/>
                <w:sz w:val="18"/>
              </w:rPr>
              <w:t>0.43</w:t>
            </w:r>
          </w:p>
        </w:tc>
        <w:tc>
          <w:tcPr>
            <w:tcW w:w="850" w:type="dxa"/>
            <w:tcBorders/>
          </w:tcPr>
          <w:p>
            <w:pPr>
              <w:pStyle w:val="Normal"/>
              <w:jc w:val="center"/>
              <w:rPr>
                <w:color w:val="000000"/>
                <w:sz w:val="18"/>
              </w:rPr>
            </w:pPr>
            <w:r>
              <w:rPr>
                <w:color w:val="000000"/>
                <w:sz w:val="18"/>
              </w:rPr>
              <w:t>5.2</w:t>
            </w:r>
          </w:p>
        </w:tc>
        <w:tc>
          <w:tcPr>
            <w:tcW w:w="851" w:type="dxa"/>
            <w:tcBorders/>
          </w:tcPr>
          <w:p>
            <w:pPr>
              <w:pStyle w:val="Normal"/>
              <w:jc w:val="center"/>
              <w:rPr>
                <w:color w:val="000000"/>
                <w:sz w:val="18"/>
              </w:rPr>
            </w:pPr>
            <w:r>
              <w:rPr>
                <w:color w:val="000000"/>
                <w:sz w:val="18"/>
              </w:rPr>
              <w:t>5.3</w:t>
            </w:r>
          </w:p>
        </w:tc>
        <w:tc>
          <w:tcPr>
            <w:tcW w:w="724" w:type="dxa"/>
            <w:gridSpan w:val="2"/>
            <w:tcBorders/>
          </w:tcPr>
          <w:p>
            <w:pPr>
              <w:pStyle w:val="Normal"/>
              <w:jc w:val="center"/>
              <w:rPr>
                <w:color w:val="000000"/>
                <w:sz w:val="18"/>
              </w:rPr>
            </w:pPr>
            <w:r>
              <w:rPr>
                <w:color w:val="000000"/>
                <w:sz w:val="18"/>
              </w:rPr>
              <w:t>1.86</w:t>
            </w:r>
          </w:p>
        </w:tc>
        <w:tc>
          <w:tcPr>
            <w:tcW w:w="723" w:type="dxa"/>
            <w:gridSpan w:val="2"/>
            <w:tcBorders/>
          </w:tcPr>
          <w:p>
            <w:pPr>
              <w:pStyle w:val="Normal"/>
              <w:jc w:val="center"/>
              <w:rPr>
                <w:color w:val="000000"/>
                <w:sz w:val="18"/>
              </w:rPr>
            </w:pPr>
            <w:r>
              <w:rPr>
                <w:color w:val="000000"/>
                <w:sz w:val="18"/>
              </w:rPr>
              <w:t>24.7</w:t>
            </w:r>
          </w:p>
        </w:tc>
        <w:tc>
          <w:tcPr>
            <w:tcW w:w="679" w:type="dxa"/>
            <w:tcBorders/>
          </w:tcPr>
          <w:p>
            <w:pPr>
              <w:pStyle w:val="Normal"/>
              <w:jc w:val="center"/>
              <w:rPr>
                <w:color w:val="000000"/>
                <w:sz w:val="18"/>
              </w:rPr>
            </w:pPr>
            <w:r>
              <w:rPr>
                <w:color w:val="000000"/>
                <w:sz w:val="18"/>
              </w:rPr>
              <w:t>24.8</w:t>
            </w:r>
          </w:p>
        </w:tc>
        <w:tc>
          <w:tcPr>
            <w:tcW w:w="850" w:type="dxa"/>
            <w:tcBorders/>
          </w:tcPr>
          <w:p>
            <w:pPr>
              <w:pStyle w:val="Normal"/>
              <w:jc w:val="center"/>
              <w:rPr>
                <w:color w:val="000000"/>
                <w:sz w:val="18"/>
              </w:rPr>
            </w:pPr>
            <w:r>
              <w:rPr>
                <w:color w:val="000000"/>
                <w:sz w:val="18"/>
              </w:rPr>
              <w:t>1.12</w:t>
            </w:r>
          </w:p>
        </w:tc>
        <w:tc>
          <w:tcPr>
            <w:tcW w:w="709" w:type="dxa"/>
            <w:tcBorders/>
          </w:tcPr>
          <w:p>
            <w:pPr>
              <w:pStyle w:val="Normal"/>
              <w:jc w:val="center"/>
              <w:rPr>
                <w:color w:val="000000"/>
                <w:sz w:val="18"/>
              </w:rPr>
            </w:pPr>
            <w:r>
              <w:rPr>
                <w:color w:val="000000"/>
                <w:sz w:val="18"/>
              </w:rPr>
              <w:t>0.61</w:t>
            </w:r>
          </w:p>
        </w:tc>
        <w:tc>
          <w:tcPr>
            <w:tcW w:w="709" w:type="dxa"/>
            <w:tcBorders/>
          </w:tcPr>
          <w:p>
            <w:pPr>
              <w:pStyle w:val="Normal"/>
              <w:jc w:val="center"/>
              <w:rPr>
                <w:color w:val="000000"/>
                <w:sz w:val="18"/>
              </w:rPr>
            </w:pPr>
            <w:r>
              <w:rPr>
                <w:color w:val="000000"/>
                <w:sz w:val="18"/>
              </w:rPr>
              <w:t>7.4</w:t>
            </w:r>
          </w:p>
        </w:tc>
        <w:tc>
          <w:tcPr>
            <w:tcW w:w="850" w:type="dxa"/>
            <w:tcBorders/>
          </w:tcPr>
          <w:p>
            <w:pPr>
              <w:pStyle w:val="Normal"/>
              <w:jc w:val="center"/>
              <w:rPr>
                <w:color w:val="000000"/>
                <w:sz w:val="18"/>
              </w:rPr>
            </w:pPr>
            <w:r>
              <w:rPr>
                <w:color w:val="000000"/>
                <w:sz w:val="18"/>
              </w:rPr>
              <w:t>7.6</w:t>
            </w:r>
          </w:p>
        </w:tc>
        <w:tc>
          <w:tcPr>
            <w:tcW w:w="851" w:type="dxa"/>
            <w:tcBorders>
              <w:end w:val="single" w:sz="12" w:space="0" w:color="000000"/>
            </w:tcBorders>
          </w:tcPr>
          <w:p>
            <w:pPr>
              <w:pStyle w:val="Normal"/>
              <w:jc w:val="center"/>
              <w:rPr>
                <w:color w:val="000000"/>
                <w:sz w:val="18"/>
              </w:rPr>
            </w:pPr>
            <w:r>
              <w:rPr>
                <w:color w:val="000000"/>
                <w:sz w:val="18"/>
              </w:rPr>
              <w:t>18.5</w:t>
            </w:r>
          </w:p>
        </w:tc>
      </w:tr>
      <w:tr>
        <w:trPr/>
        <w:tc>
          <w:tcPr>
            <w:tcW w:w="628" w:type="dxa"/>
            <w:tcBorders>
              <w:start w:val="single" w:sz="12" w:space="0" w:color="000000"/>
            </w:tcBorders>
          </w:tcPr>
          <w:p>
            <w:pPr>
              <w:pStyle w:val="Normal"/>
              <w:jc w:val="center"/>
              <w:rPr>
                <w:b/>
                <w:sz w:val="16"/>
              </w:rPr>
            </w:pPr>
            <w:r>
              <w:rPr>
                <w:b/>
                <w:sz w:val="16"/>
              </w:rPr>
              <w:t>1998</w:t>
            </w:r>
          </w:p>
        </w:tc>
        <w:tc>
          <w:tcPr>
            <w:tcW w:w="396" w:type="dxa"/>
            <w:tcBorders>
              <w:start w:val="single" w:sz="6" w:space="0" w:color="000000"/>
              <w:end w:val="single" w:sz="6" w:space="0" w:color="000000"/>
            </w:tcBorders>
          </w:tcPr>
          <w:p>
            <w:pPr>
              <w:pStyle w:val="Normal"/>
              <w:jc w:val="center"/>
              <w:rPr>
                <w:sz w:val="14"/>
              </w:rPr>
            </w:pPr>
            <w:r>
              <w:rPr>
                <w:sz w:val="14"/>
              </w:rPr>
              <w:t>I</w:t>
            </w:r>
          </w:p>
        </w:tc>
        <w:tc>
          <w:tcPr>
            <w:tcW w:w="649" w:type="dxa"/>
            <w:tcBorders/>
          </w:tcPr>
          <w:p>
            <w:pPr>
              <w:pStyle w:val="Normal"/>
              <w:jc w:val="center"/>
              <w:rPr>
                <w:color w:val="000000"/>
                <w:sz w:val="18"/>
              </w:rPr>
            </w:pPr>
            <w:r>
              <w:rPr>
                <w:color w:val="000000"/>
                <w:sz w:val="18"/>
              </w:rPr>
              <w:t>0.50</w:t>
            </w:r>
          </w:p>
        </w:tc>
        <w:tc>
          <w:tcPr>
            <w:tcW w:w="850" w:type="dxa"/>
            <w:tcBorders/>
          </w:tcPr>
          <w:p>
            <w:pPr>
              <w:pStyle w:val="Normal"/>
              <w:jc w:val="center"/>
              <w:rPr>
                <w:color w:val="000000"/>
                <w:sz w:val="18"/>
              </w:rPr>
            </w:pPr>
            <w:r>
              <w:rPr>
                <w:color w:val="000000"/>
                <w:sz w:val="18"/>
              </w:rPr>
              <w:t>4.5</w:t>
            </w:r>
          </w:p>
        </w:tc>
        <w:tc>
          <w:tcPr>
            <w:tcW w:w="851" w:type="dxa"/>
            <w:tcBorders/>
          </w:tcPr>
          <w:p>
            <w:pPr>
              <w:pStyle w:val="Normal"/>
              <w:jc w:val="center"/>
              <w:rPr>
                <w:color w:val="000000"/>
                <w:sz w:val="18"/>
              </w:rPr>
            </w:pPr>
            <w:r>
              <w:rPr>
                <w:color w:val="000000"/>
                <w:sz w:val="18"/>
              </w:rPr>
              <w:t>6.2</w:t>
            </w:r>
          </w:p>
        </w:tc>
        <w:tc>
          <w:tcPr>
            <w:tcW w:w="724" w:type="dxa"/>
            <w:gridSpan w:val="2"/>
            <w:tcBorders/>
          </w:tcPr>
          <w:p>
            <w:pPr>
              <w:pStyle w:val="Normal"/>
              <w:jc w:val="center"/>
              <w:rPr>
                <w:color w:val="000000"/>
                <w:sz w:val="18"/>
              </w:rPr>
            </w:pPr>
            <w:r>
              <w:rPr>
                <w:color w:val="000000"/>
                <w:sz w:val="18"/>
              </w:rPr>
              <w:t>2.33</w:t>
            </w:r>
          </w:p>
        </w:tc>
        <w:tc>
          <w:tcPr>
            <w:tcW w:w="723" w:type="dxa"/>
            <w:gridSpan w:val="2"/>
            <w:tcBorders/>
          </w:tcPr>
          <w:p>
            <w:pPr>
              <w:pStyle w:val="Normal"/>
              <w:jc w:val="center"/>
              <w:rPr>
                <w:color w:val="000000"/>
                <w:sz w:val="18"/>
              </w:rPr>
            </w:pPr>
            <w:r>
              <w:rPr>
                <w:color w:val="000000"/>
                <w:sz w:val="18"/>
              </w:rPr>
              <w:t>27.2</w:t>
            </w:r>
          </w:p>
        </w:tc>
        <w:tc>
          <w:tcPr>
            <w:tcW w:w="679" w:type="dxa"/>
            <w:tcBorders/>
          </w:tcPr>
          <w:p>
            <w:pPr>
              <w:pStyle w:val="Normal"/>
              <w:jc w:val="center"/>
              <w:rPr>
                <w:color w:val="000000"/>
                <w:sz w:val="18"/>
              </w:rPr>
            </w:pPr>
            <w:r>
              <w:rPr>
                <w:color w:val="000000"/>
                <w:sz w:val="18"/>
              </w:rPr>
              <w:t>31.9</w:t>
            </w:r>
          </w:p>
        </w:tc>
        <w:tc>
          <w:tcPr>
            <w:tcW w:w="850" w:type="dxa"/>
            <w:tcBorders/>
          </w:tcPr>
          <w:p>
            <w:pPr>
              <w:pStyle w:val="Normal"/>
              <w:jc w:val="center"/>
              <w:rPr>
                <w:color w:val="000000"/>
                <w:sz w:val="18"/>
              </w:rPr>
            </w:pPr>
            <w:r>
              <w:rPr>
                <w:color w:val="000000"/>
                <w:sz w:val="18"/>
              </w:rPr>
              <w:t>1.14</w:t>
            </w:r>
          </w:p>
        </w:tc>
        <w:tc>
          <w:tcPr>
            <w:tcW w:w="709" w:type="dxa"/>
            <w:tcBorders/>
          </w:tcPr>
          <w:p>
            <w:pPr>
              <w:pStyle w:val="Normal"/>
              <w:jc w:val="center"/>
              <w:rPr>
                <w:color w:val="000000"/>
                <w:sz w:val="18"/>
              </w:rPr>
            </w:pPr>
            <w:r>
              <w:rPr>
                <w:color w:val="000000"/>
                <w:sz w:val="18"/>
              </w:rPr>
              <w:t>0.62</w:t>
            </w:r>
          </w:p>
        </w:tc>
        <w:tc>
          <w:tcPr>
            <w:tcW w:w="709" w:type="dxa"/>
            <w:tcBorders/>
          </w:tcPr>
          <w:p>
            <w:pPr>
              <w:pStyle w:val="Normal"/>
              <w:jc w:val="center"/>
              <w:rPr>
                <w:color w:val="000000"/>
                <w:sz w:val="18"/>
              </w:rPr>
            </w:pPr>
            <w:r>
              <w:rPr>
                <w:color w:val="000000"/>
                <w:sz w:val="18"/>
              </w:rPr>
              <w:t>7.4</w:t>
            </w:r>
          </w:p>
        </w:tc>
        <w:tc>
          <w:tcPr>
            <w:tcW w:w="850" w:type="dxa"/>
            <w:tcBorders/>
          </w:tcPr>
          <w:p>
            <w:pPr>
              <w:pStyle w:val="Normal"/>
              <w:jc w:val="center"/>
              <w:rPr>
                <w:color w:val="000000"/>
                <w:sz w:val="18"/>
              </w:rPr>
            </w:pPr>
            <w:r>
              <w:rPr>
                <w:color w:val="000000"/>
                <w:sz w:val="18"/>
              </w:rPr>
              <w:t>7.7</w:t>
            </w:r>
          </w:p>
        </w:tc>
        <w:tc>
          <w:tcPr>
            <w:tcW w:w="851" w:type="dxa"/>
            <w:tcBorders>
              <w:end w:val="single" w:sz="12" w:space="0" w:color="000000"/>
            </w:tcBorders>
          </w:tcPr>
          <w:p>
            <w:pPr>
              <w:pStyle w:val="Normal"/>
              <w:jc w:val="center"/>
              <w:rPr>
                <w:color w:val="000000"/>
                <w:sz w:val="18"/>
              </w:rPr>
            </w:pPr>
            <w:r>
              <w:rPr>
                <w:color w:val="000000"/>
                <w:sz w:val="18"/>
              </w:rPr>
              <w:t>24.2</w:t>
            </w:r>
          </w:p>
        </w:tc>
      </w:tr>
      <w:tr>
        <w:trPr/>
        <w:tc>
          <w:tcPr>
            <w:tcW w:w="628" w:type="dxa"/>
            <w:tcBorders>
              <w:start w:val="single" w:sz="12" w:space="0" w:color="000000"/>
            </w:tcBorders>
          </w:tcPr>
          <w:p>
            <w:pPr>
              <w:pStyle w:val="Normal"/>
              <w:snapToGrid w:val="false"/>
              <w:jc w:val="center"/>
              <w:rPr>
                <w:b/>
                <w:color w:val="000000"/>
                <w:sz w:val="16"/>
              </w:rPr>
            </w:pPr>
            <w:r>
              <w:rPr>
                <w:b/>
                <w:color w:val="000000"/>
                <w:sz w:val="16"/>
              </w:rPr>
            </w:r>
          </w:p>
        </w:tc>
        <w:tc>
          <w:tcPr>
            <w:tcW w:w="396" w:type="dxa"/>
            <w:tcBorders>
              <w:start w:val="single" w:sz="6" w:space="0" w:color="000000"/>
              <w:end w:val="single" w:sz="6" w:space="0" w:color="000000"/>
            </w:tcBorders>
          </w:tcPr>
          <w:p>
            <w:pPr>
              <w:pStyle w:val="Normal"/>
              <w:jc w:val="center"/>
              <w:rPr>
                <w:sz w:val="14"/>
              </w:rPr>
            </w:pPr>
            <w:r>
              <w:rPr>
                <w:sz w:val="14"/>
              </w:rPr>
              <w:t>II</w:t>
            </w:r>
          </w:p>
        </w:tc>
        <w:tc>
          <w:tcPr>
            <w:tcW w:w="649" w:type="dxa"/>
            <w:tcBorders/>
          </w:tcPr>
          <w:p>
            <w:pPr>
              <w:pStyle w:val="Normal"/>
              <w:jc w:val="center"/>
              <w:rPr>
                <w:color w:val="000000"/>
                <w:sz w:val="18"/>
              </w:rPr>
            </w:pPr>
            <w:r>
              <w:rPr>
                <w:color w:val="000000"/>
                <w:sz w:val="18"/>
              </w:rPr>
              <w:t>0.25</w:t>
            </w:r>
          </w:p>
        </w:tc>
        <w:tc>
          <w:tcPr>
            <w:tcW w:w="850" w:type="dxa"/>
            <w:tcBorders/>
          </w:tcPr>
          <w:p>
            <w:pPr>
              <w:pStyle w:val="Normal"/>
              <w:jc w:val="center"/>
              <w:rPr>
                <w:color w:val="000000"/>
                <w:sz w:val="18"/>
              </w:rPr>
            </w:pPr>
            <w:r>
              <w:rPr>
                <w:color w:val="000000"/>
                <w:sz w:val="18"/>
              </w:rPr>
              <w:t>3.4</w:t>
            </w:r>
          </w:p>
        </w:tc>
        <w:tc>
          <w:tcPr>
            <w:tcW w:w="851" w:type="dxa"/>
            <w:tcBorders/>
          </w:tcPr>
          <w:p>
            <w:pPr>
              <w:pStyle w:val="Normal"/>
              <w:jc w:val="center"/>
              <w:rPr>
                <w:color w:val="000000"/>
                <w:sz w:val="18"/>
              </w:rPr>
            </w:pPr>
            <w:r>
              <w:rPr>
                <w:color w:val="000000"/>
                <w:sz w:val="18"/>
              </w:rPr>
              <w:t>3.1</w:t>
            </w:r>
          </w:p>
        </w:tc>
        <w:tc>
          <w:tcPr>
            <w:tcW w:w="724" w:type="dxa"/>
            <w:gridSpan w:val="2"/>
            <w:tcBorders/>
          </w:tcPr>
          <w:p>
            <w:pPr>
              <w:pStyle w:val="Normal"/>
              <w:jc w:val="center"/>
              <w:rPr>
                <w:color w:val="000000"/>
                <w:sz w:val="18"/>
              </w:rPr>
            </w:pPr>
            <w:r>
              <w:rPr>
                <w:color w:val="000000"/>
                <w:sz w:val="18"/>
              </w:rPr>
              <w:t>1.66</w:t>
            </w:r>
          </w:p>
        </w:tc>
        <w:tc>
          <w:tcPr>
            <w:tcW w:w="723" w:type="dxa"/>
            <w:gridSpan w:val="2"/>
            <w:tcBorders/>
          </w:tcPr>
          <w:p>
            <w:pPr>
              <w:pStyle w:val="Normal"/>
              <w:jc w:val="center"/>
              <w:rPr>
                <w:color w:val="000000"/>
                <w:sz w:val="18"/>
              </w:rPr>
            </w:pPr>
            <w:r>
              <w:rPr>
                <w:color w:val="000000"/>
                <w:sz w:val="18"/>
              </w:rPr>
              <w:t>27.3</w:t>
            </w:r>
          </w:p>
        </w:tc>
        <w:tc>
          <w:tcPr>
            <w:tcW w:w="679" w:type="dxa"/>
            <w:tcBorders/>
          </w:tcPr>
          <w:p>
            <w:pPr>
              <w:pStyle w:val="Normal"/>
              <w:jc w:val="center"/>
              <w:rPr>
                <w:color w:val="000000"/>
                <w:sz w:val="18"/>
              </w:rPr>
            </w:pPr>
            <w:r>
              <w:rPr>
                <w:color w:val="000000"/>
                <w:sz w:val="18"/>
              </w:rPr>
              <w:t>21.8</w:t>
            </w:r>
          </w:p>
        </w:tc>
        <w:tc>
          <w:tcPr>
            <w:tcW w:w="850" w:type="dxa"/>
            <w:tcBorders/>
          </w:tcPr>
          <w:p>
            <w:pPr>
              <w:pStyle w:val="Normal"/>
              <w:jc w:val="center"/>
              <w:rPr>
                <w:color w:val="000000"/>
                <w:sz w:val="18"/>
              </w:rPr>
            </w:pPr>
            <w:r>
              <w:rPr>
                <w:color w:val="000000"/>
                <w:sz w:val="18"/>
              </w:rPr>
              <w:t>1.16</w:t>
            </w:r>
          </w:p>
        </w:tc>
        <w:tc>
          <w:tcPr>
            <w:tcW w:w="709" w:type="dxa"/>
            <w:tcBorders/>
          </w:tcPr>
          <w:p>
            <w:pPr>
              <w:pStyle w:val="Normal"/>
              <w:jc w:val="center"/>
              <w:rPr>
                <w:color w:val="000000"/>
                <w:sz w:val="18"/>
              </w:rPr>
            </w:pPr>
            <w:r>
              <w:rPr>
                <w:color w:val="000000"/>
                <w:sz w:val="18"/>
              </w:rPr>
              <w:t>0.57</w:t>
            </w:r>
          </w:p>
        </w:tc>
        <w:tc>
          <w:tcPr>
            <w:tcW w:w="709" w:type="dxa"/>
            <w:tcBorders/>
          </w:tcPr>
          <w:p>
            <w:pPr>
              <w:pStyle w:val="Normal"/>
              <w:jc w:val="center"/>
              <w:rPr>
                <w:color w:val="000000"/>
                <w:sz w:val="18"/>
              </w:rPr>
            </w:pPr>
            <w:r>
              <w:rPr>
                <w:color w:val="000000"/>
                <w:sz w:val="18"/>
              </w:rPr>
              <w:t>7.4</w:t>
            </w:r>
          </w:p>
        </w:tc>
        <w:tc>
          <w:tcPr>
            <w:tcW w:w="850" w:type="dxa"/>
            <w:tcBorders/>
          </w:tcPr>
          <w:p>
            <w:pPr>
              <w:pStyle w:val="Normal"/>
              <w:jc w:val="center"/>
              <w:rPr>
                <w:color w:val="000000"/>
                <w:sz w:val="18"/>
              </w:rPr>
            </w:pPr>
            <w:r>
              <w:rPr>
                <w:color w:val="000000"/>
                <w:sz w:val="18"/>
              </w:rPr>
              <w:t>7.0</w:t>
            </w:r>
          </w:p>
        </w:tc>
        <w:tc>
          <w:tcPr>
            <w:tcW w:w="851" w:type="dxa"/>
            <w:tcBorders>
              <w:end w:val="single" w:sz="12" w:space="0" w:color="000000"/>
            </w:tcBorders>
          </w:tcPr>
          <w:p>
            <w:pPr>
              <w:pStyle w:val="Normal"/>
              <w:jc w:val="center"/>
              <w:rPr>
                <w:color w:val="000000"/>
                <w:sz w:val="18"/>
              </w:rPr>
            </w:pPr>
            <w:r>
              <w:rPr>
                <w:color w:val="000000"/>
                <w:sz w:val="18"/>
              </w:rPr>
              <w:t>18.2</w:t>
            </w:r>
          </w:p>
        </w:tc>
      </w:tr>
      <w:tr>
        <w:trPr/>
        <w:tc>
          <w:tcPr>
            <w:tcW w:w="628" w:type="dxa"/>
            <w:tcBorders>
              <w:start w:val="single" w:sz="12" w:space="0" w:color="000000"/>
            </w:tcBorders>
          </w:tcPr>
          <w:p>
            <w:pPr>
              <w:pStyle w:val="Normal"/>
              <w:snapToGrid w:val="false"/>
              <w:jc w:val="center"/>
              <w:rPr>
                <w:b/>
                <w:color w:val="000000"/>
                <w:sz w:val="16"/>
              </w:rPr>
            </w:pPr>
            <w:r>
              <w:rPr>
                <w:b/>
                <w:color w:val="000000"/>
                <w:sz w:val="16"/>
              </w:rPr>
            </w:r>
          </w:p>
        </w:tc>
        <w:tc>
          <w:tcPr>
            <w:tcW w:w="396" w:type="dxa"/>
            <w:tcBorders>
              <w:start w:val="single" w:sz="6" w:space="0" w:color="000000"/>
              <w:end w:val="single" w:sz="6" w:space="0" w:color="000000"/>
            </w:tcBorders>
          </w:tcPr>
          <w:p>
            <w:pPr>
              <w:pStyle w:val="Normal"/>
              <w:jc w:val="center"/>
              <w:rPr>
                <w:sz w:val="14"/>
              </w:rPr>
            </w:pPr>
            <w:r>
              <w:rPr>
                <w:sz w:val="14"/>
              </w:rPr>
              <w:t>III</w:t>
            </w:r>
          </w:p>
        </w:tc>
        <w:tc>
          <w:tcPr>
            <w:tcW w:w="649" w:type="dxa"/>
            <w:tcBorders/>
          </w:tcPr>
          <w:p>
            <w:pPr>
              <w:pStyle w:val="Normal"/>
              <w:jc w:val="center"/>
              <w:rPr>
                <w:sz w:val="18"/>
              </w:rPr>
            </w:pPr>
            <w:r>
              <w:rPr>
                <w:sz w:val="18"/>
              </w:rPr>
              <w:t>-0.28</w:t>
            </w:r>
          </w:p>
        </w:tc>
        <w:tc>
          <w:tcPr>
            <w:tcW w:w="850" w:type="dxa"/>
            <w:tcBorders/>
          </w:tcPr>
          <w:p>
            <w:pPr>
              <w:pStyle w:val="Normal"/>
              <w:jc w:val="center"/>
              <w:rPr>
                <w:sz w:val="18"/>
              </w:rPr>
            </w:pPr>
            <w:r>
              <w:rPr>
                <w:sz w:val="18"/>
              </w:rPr>
              <w:t>2.3</w:t>
            </w:r>
          </w:p>
        </w:tc>
        <w:tc>
          <w:tcPr>
            <w:tcW w:w="851" w:type="dxa"/>
            <w:tcBorders/>
          </w:tcPr>
          <w:p>
            <w:pPr>
              <w:pStyle w:val="Normal"/>
              <w:jc w:val="center"/>
              <w:rPr>
                <w:sz w:val="18"/>
              </w:rPr>
            </w:pPr>
            <w:r>
              <w:rPr>
                <w:sz w:val="18"/>
              </w:rPr>
              <w:t>-3.4</w:t>
            </w:r>
          </w:p>
        </w:tc>
        <w:tc>
          <w:tcPr>
            <w:tcW w:w="724" w:type="dxa"/>
            <w:gridSpan w:val="2"/>
            <w:tcBorders/>
          </w:tcPr>
          <w:p>
            <w:pPr>
              <w:pStyle w:val="Normal"/>
              <w:jc w:val="center"/>
              <w:rPr>
                <w:sz w:val="18"/>
              </w:rPr>
            </w:pPr>
            <w:r>
              <w:rPr>
                <w:sz w:val="18"/>
              </w:rPr>
              <w:t>1.90</w:t>
            </w:r>
          </w:p>
        </w:tc>
        <w:tc>
          <w:tcPr>
            <w:tcW w:w="723" w:type="dxa"/>
            <w:gridSpan w:val="2"/>
            <w:tcBorders/>
          </w:tcPr>
          <w:p>
            <w:pPr>
              <w:pStyle w:val="Normal"/>
              <w:jc w:val="center"/>
              <w:rPr>
                <w:sz w:val="18"/>
              </w:rPr>
            </w:pPr>
            <w:r>
              <w:rPr>
                <w:sz w:val="18"/>
              </w:rPr>
              <w:t>28.5</w:t>
            </w:r>
          </w:p>
        </w:tc>
        <w:tc>
          <w:tcPr>
            <w:tcW w:w="679" w:type="dxa"/>
            <w:tcBorders/>
          </w:tcPr>
          <w:p>
            <w:pPr>
              <w:pStyle w:val="Normal"/>
              <w:jc w:val="center"/>
              <w:rPr>
                <w:sz w:val="18"/>
              </w:rPr>
            </w:pPr>
            <w:r>
              <w:rPr>
                <w:sz w:val="18"/>
              </w:rPr>
              <w:t>25.4</w:t>
            </w:r>
          </w:p>
        </w:tc>
        <w:tc>
          <w:tcPr>
            <w:tcW w:w="850" w:type="dxa"/>
            <w:tcBorders/>
          </w:tcPr>
          <w:p>
            <w:pPr>
              <w:pStyle w:val="Normal"/>
              <w:jc w:val="center"/>
              <w:rPr>
                <w:sz w:val="18"/>
              </w:rPr>
            </w:pPr>
            <w:r>
              <w:rPr>
                <w:sz w:val="18"/>
              </w:rPr>
              <w:t>1.19</w:t>
            </w:r>
          </w:p>
        </w:tc>
        <w:tc>
          <w:tcPr>
            <w:tcW w:w="709" w:type="dxa"/>
            <w:tcBorders/>
          </w:tcPr>
          <w:p>
            <w:pPr>
              <w:pStyle w:val="Normal"/>
              <w:jc w:val="center"/>
              <w:rPr>
                <w:sz w:val="18"/>
              </w:rPr>
            </w:pPr>
            <w:r>
              <w:rPr>
                <w:sz w:val="18"/>
              </w:rPr>
              <w:t>0.82</w:t>
            </w:r>
          </w:p>
        </w:tc>
        <w:tc>
          <w:tcPr>
            <w:tcW w:w="709" w:type="dxa"/>
            <w:tcBorders/>
          </w:tcPr>
          <w:p>
            <w:pPr>
              <w:pStyle w:val="Normal"/>
              <w:jc w:val="center"/>
              <w:rPr>
                <w:sz w:val="18"/>
              </w:rPr>
            </w:pPr>
            <w:r>
              <w:rPr>
                <w:sz w:val="18"/>
              </w:rPr>
              <w:t>8.1</w:t>
            </w:r>
          </w:p>
        </w:tc>
        <w:tc>
          <w:tcPr>
            <w:tcW w:w="850" w:type="dxa"/>
            <w:tcBorders/>
          </w:tcPr>
          <w:p>
            <w:pPr>
              <w:pStyle w:val="Normal"/>
              <w:jc w:val="center"/>
              <w:rPr>
                <w:sz w:val="18"/>
              </w:rPr>
            </w:pPr>
            <w:r>
              <w:rPr>
                <w:sz w:val="18"/>
              </w:rPr>
              <w:t>10.3</w:t>
            </w:r>
          </w:p>
        </w:tc>
        <w:tc>
          <w:tcPr>
            <w:tcW w:w="851" w:type="dxa"/>
            <w:tcBorders>
              <w:end w:val="single" w:sz="12" w:space="0" w:color="000000"/>
            </w:tcBorders>
          </w:tcPr>
          <w:p>
            <w:pPr>
              <w:pStyle w:val="Normal"/>
              <w:jc w:val="center"/>
              <w:rPr>
                <w:sz w:val="18"/>
              </w:rPr>
            </w:pPr>
            <w:r>
              <w:rPr>
                <w:sz w:val="18"/>
              </w:rPr>
              <w:t>29.8</w:t>
            </w:r>
          </w:p>
        </w:tc>
      </w:tr>
      <w:tr>
        <w:trPr/>
        <w:tc>
          <w:tcPr>
            <w:tcW w:w="628" w:type="dxa"/>
            <w:tcBorders>
              <w:start w:val="single" w:sz="12" w:space="0" w:color="000000"/>
            </w:tcBorders>
          </w:tcPr>
          <w:p>
            <w:pPr>
              <w:pStyle w:val="Normal"/>
              <w:snapToGrid w:val="false"/>
              <w:jc w:val="center"/>
              <w:rPr>
                <w:b/>
                <w:sz w:val="16"/>
              </w:rPr>
            </w:pPr>
            <w:r>
              <w:rPr>
                <w:b/>
                <w:sz w:val="16"/>
              </w:rPr>
            </w:r>
          </w:p>
        </w:tc>
        <w:tc>
          <w:tcPr>
            <w:tcW w:w="396" w:type="dxa"/>
            <w:tcBorders>
              <w:start w:val="single" w:sz="6" w:space="0" w:color="000000"/>
              <w:end w:val="single" w:sz="6" w:space="0" w:color="000000"/>
            </w:tcBorders>
          </w:tcPr>
          <w:p>
            <w:pPr>
              <w:pStyle w:val="Normal"/>
              <w:jc w:val="center"/>
              <w:rPr>
                <w:sz w:val="14"/>
              </w:rPr>
            </w:pPr>
            <w:r>
              <w:rPr>
                <w:sz w:val="14"/>
              </w:rPr>
              <w:t>IV</w:t>
            </w:r>
          </w:p>
        </w:tc>
        <w:tc>
          <w:tcPr>
            <w:tcW w:w="649" w:type="dxa"/>
            <w:tcBorders/>
          </w:tcPr>
          <w:p>
            <w:pPr>
              <w:pStyle w:val="Normal"/>
              <w:jc w:val="center"/>
              <w:rPr>
                <w:sz w:val="18"/>
              </w:rPr>
            </w:pPr>
            <w:r>
              <w:rPr>
                <w:sz w:val="18"/>
              </w:rPr>
              <w:t>0.08</w:t>
            </w:r>
          </w:p>
        </w:tc>
        <w:tc>
          <w:tcPr>
            <w:tcW w:w="850" w:type="dxa"/>
            <w:tcBorders/>
          </w:tcPr>
          <w:p>
            <w:pPr>
              <w:pStyle w:val="Normal"/>
              <w:jc w:val="center"/>
              <w:rPr>
                <w:sz w:val="18"/>
              </w:rPr>
            </w:pPr>
            <w:r>
              <w:rPr>
                <w:sz w:val="18"/>
              </w:rPr>
              <w:t>1.7</w:t>
            </w:r>
          </w:p>
        </w:tc>
        <w:tc>
          <w:tcPr>
            <w:tcW w:w="851" w:type="dxa"/>
            <w:tcBorders/>
          </w:tcPr>
          <w:p>
            <w:pPr>
              <w:pStyle w:val="Normal"/>
              <w:jc w:val="center"/>
              <w:rPr>
                <w:sz w:val="18"/>
              </w:rPr>
            </w:pPr>
            <w:r>
              <w:rPr>
                <w:sz w:val="18"/>
              </w:rPr>
              <w:t>0.9</w:t>
            </w:r>
          </w:p>
        </w:tc>
        <w:tc>
          <w:tcPr>
            <w:tcW w:w="724" w:type="dxa"/>
            <w:gridSpan w:val="2"/>
            <w:tcBorders/>
          </w:tcPr>
          <w:p>
            <w:pPr>
              <w:pStyle w:val="Normal"/>
              <w:jc w:val="center"/>
              <w:rPr>
                <w:sz w:val="18"/>
              </w:rPr>
            </w:pPr>
            <w:r>
              <w:rPr>
                <w:sz w:val="18"/>
              </w:rPr>
              <w:t>2.68</w:t>
            </w:r>
          </w:p>
        </w:tc>
        <w:tc>
          <w:tcPr>
            <w:tcW w:w="723" w:type="dxa"/>
            <w:gridSpan w:val="2"/>
            <w:tcBorders/>
          </w:tcPr>
          <w:p>
            <w:pPr>
              <w:pStyle w:val="Normal"/>
              <w:jc w:val="center"/>
              <w:rPr>
                <w:sz w:val="18"/>
              </w:rPr>
            </w:pPr>
            <w:r>
              <w:rPr>
                <w:sz w:val="18"/>
              </w:rPr>
              <w:t>29.0</w:t>
            </w:r>
          </w:p>
        </w:tc>
        <w:tc>
          <w:tcPr>
            <w:tcW w:w="679" w:type="dxa"/>
            <w:tcBorders/>
          </w:tcPr>
          <w:p>
            <w:pPr>
              <w:pStyle w:val="Normal"/>
              <w:jc w:val="center"/>
              <w:rPr>
                <w:sz w:val="18"/>
              </w:rPr>
            </w:pPr>
            <w:r>
              <w:rPr>
                <w:sz w:val="18"/>
              </w:rPr>
              <w:t>37.3</w:t>
            </w:r>
          </w:p>
        </w:tc>
        <w:tc>
          <w:tcPr>
            <w:tcW w:w="850" w:type="dxa"/>
            <w:tcBorders/>
          </w:tcPr>
          <w:p>
            <w:pPr>
              <w:pStyle w:val="Normal"/>
              <w:jc w:val="center"/>
              <w:rPr>
                <w:sz w:val="18"/>
              </w:rPr>
            </w:pPr>
            <w:r>
              <w:rPr>
                <w:sz w:val="18"/>
              </w:rPr>
              <w:t>1.21</w:t>
            </w:r>
          </w:p>
        </w:tc>
        <w:tc>
          <w:tcPr>
            <w:tcW w:w="709" w:type="dxa"/>
            <w:tcBorders/>
          </w:tcPr>
          <w:p>
            <w:pPr>
              <w:pStyle w:val="Normal"/>
              <w:jc w:val="center"/>
              <w:rPr>
                <w:sz w:val="18"/>
              </w:rPr>
            </w:pPr>
            <w:r>
              <w:rPr>
                <w:sz w:val="18"/>
              </w:rPr>
              <w:t>0.65</w:t>
            </w:r>
          </w:p>
        </w:tc>
        <w:tc>
          <w:tcPr>
            <w:tcW w:w="709" w:type="dxa"/>
            <w:tcBorders/>
          </w:tcPr>
          <w:p>
            <w:pPr>
              <w:pStyle w:val="Normal"/>
              <w:jc w:val="center"/>
              <w:rPr>
                <w:sz w:val="18"/>
              </w:rPr>
            </w:pPr>
            <w:r>
              <w:rPr>
                <w:sz w:val="18"/>
              </w:rPr>
              <w:t>8.3</w:t>
            </w:r>
          </w:p>
        </w:tc>
        <w:tc>
          <w:tcPr>
            <w:tcW w:w="850" w:type="dxa"/>
            <w:tcBorders/>
          </w:tcPr>
          <w:p>
            <w:pPr>
              <w:pStyle w:val="Normal"/>
              <w:jc w:val="center"/>
              <w:rPr>
                <w:sz w:val="18"/>
              </w:rPr>
            </w:pPr>
            <w:r>
              <w:rPr>
                <w:sz w:val="18"/>
              </w:rPr>
              <w:t>8.0</w:t>
            </w:r>
          </w:p>
        </w:tc>
        <w:tc>
          <w:tcPr>
            <w:tcW w:w="851" w:type="dxa"/>
            <w:tcBorders>
              <w:end w:val="single" w:sz="12" w:space="0" w:color="000000"/>
            </w:tcBorders>
          </w:tcPr>
          <w:p>
            <w:pPr>
              <w:pStyle w:val="Normal"/>
              <w:jc w:val="center"/>
              <w:rPr>
                <w:sz w:val="18"/>
              </w:rPr>
            </w:pPr>
            <w:r>
              <w:rPr>
                <w:sz w:val="18"/>
              </w:rPr>
              <w:t>36.1</w:t>
            </w:r>
          </w:p>
        </w:tc>
      </w:tr>
      <w:tr>
        <w:trPr/>
        <w:tc>
          <w:tcPr>
            <w:tcW w:w="628" w:type="dxa"/>
            <w:tcBorders>
              <w:start w:val="single" w:sz="12" w:space="0" w:color="000000"/>
            </w:tcBorders>
          </w:tcPr>
          <w:p>
            <w:pPr>
              <w:pStyle w:val="Normal"/>
              <w:jc w:val="center"/>
              <w:rPr>
                <w:b/>
                <w:sz w:val="16"/>
              </w:rPr>
            </w:pPr>
            <w:r>
              <w:rPr>
                <w:b/>
                <w:sz w:val="16"/>
              </w:rPr>
              <w:t>1999</w:t>
            </w:r>
          </w:p>
        </w:tc>
        <w:tc>
          <w:tcPr>
            <w:tcW w:w="396" w:type="dxa"/>
            <w:tcBorders>
              <w:start w:val="single" w:sz="6" w:space="0" w:color="000000"/>
              <w:end w:val="single" w:sz="6" w:space="0" w:color="000000"/>
            </w:tcBorders>
          </w:tcPr>
          <w:p>
            <w:pPr>
              <w:pStyle w:val="Normal"/>
              <w:jc w:val="center"/>
              <w:rPr>
                <w:sz w:val="14"/>
              </w:rPr>
            </w:pPr>
            <w:r>
              <w:rPr>
                <w:sz w:val="14"/>
              </w:rPr>
              <w:t>I</w:t>
            </w:r>
          </w:p>
        </w:tc>
        <w:tc>
          <w:tcPr>
            <w:tcW w:w="649" w:type="dxa"/>
            <w:tcBorders/>
          </w:tcPr>
          <w:p>
            <w:pPr>
              <w:pStyle w:val="Normal"/>
              <w:jc w:val="center"/>
              <w:rPr>
                <w:sz w:val="18"/>
              </w:rPr>
            </w:pPr>
            <w:r>
              <w:rPr>
                <w:sz w:val="18"/>
              </w:rPr>
              <w:t>0.95</w:t>
            </w:r>
          </w:p>
        </w:tc>
        <w:tc>
          <w:tcPr>
            <w:tcW w:w="850" w:type="dxa"/>
            <w:tcBorders/>
          </w:tcPr>
          <w:p>
            <w:pPr>
              <w:pStyle w:val="Normal"/>
              <w:jc w:val="center"/>
              <w:rPr>
                <w:sz w:val="18"/>
              </w:rPr>
            </w:pPr>
            <w:r>
              <w:rPr>
                <w:sz w:val="18"/>
              </w:rPr>
              <w:t>3.0</w:t>
            </w:r>
          </w:p>
        </w:tc>
        <w:tc>
          <w:tcPr>
            <w:tcW w:w="851" w:type="dxa"/>
            <w:tcBorders/>
          </w:tcPr>
          <w:p>
            <w:pPr>
              <w:pStyle w:val="Normal"/>
              <w:jc w:val="center"/>
              <w:rPr>
                <w:sz w:val="18"/>
              </w:rPr>
            </w:pPr>
            <w:r>
              <w:rPr>
                <w:sz w:val="18"/>
              </w:rPr>
              <w:t>12.0</w:t>
            </w:r>
          </w:p>
        </w:tc>
        <w:tc>
          <w:tcPr>
            <w:tcW w:w="724" w:type="dxa"/>
            <w:gridSpan w:val="2"/>
            <w:tcBorders/>
          </w:tcPr>
          <w:p>
            <w:pPr>
              <w:pStyle w:val="Normal"/>
              <w:jc w:val="center"/>
              <w:rPr>
                <w:sz w:val="18"/>
              </w:rPr>
            </w:pPr>
            <w:r>
              <w:rPr>
                <w:sz w:val="18"/>
              </w:rPr>
              <w:t>2.63</w:t>
            </w:r>
          </w:p>
        </w:tc>
        <w:tc>
          <w:tcPr>
            <w:tcW w:w="723" w:type="dxa"/>
            <w:gridSpan w:val="2"/>
            <w:tcBorders/>
          </w:tcPr>
          <w:p>
            <w:pPr>
              <w:pStyle w:val="Normal"/>
              <w:jc w:val="center"/>
              <w:rPr>
                <w:sz w:val="18"/>
              </w:rPr>
            </w:pPr>
            <w:r>
              <w:rPr>
                <w:sz w:val="18"/>
              </w:rPr>
              <w:t>30.0</w:t>
            </w:r>
          </w:p>
        </w:tc>
        <w:tc>
          <w:tcPr>
            <w:tcW w:w="679" w:type="dxa"/>
            <w:tcBorders/>
          </w:tcPr>
          <w:p>
            <w:pPr>
              <w:pStyle w:val="Normal"/>
              <w:jc w:val="center"/>
              <w:rPr>
                <w:sz w:val="18"/>
              </w:rPr>
            </w:pPr>
            <w:r>
              <w:rPr>
                <w:sz w:val="18"/>
              </w:rPr>
              <w:t>36.6</w:t>
            </w:r>
          </w:p>
        </w:tc>
        <w:tc>
          <w:tcPr>
            <w:tcW w:w="850" w:type="dxa"/>
            <w:tcBorders/>
          </w:tcPr>
          <w:p>
            <w:pPr>
              <w:pStyle w:val="Normal"/>
              <w:jc w:val="center"/>
              <w:rPr>
                <w:sz w:val="18"/>
              </w:rPr>
            </w:pPr>
            <w:r>
              <w:rPr>
                <w:sz w:val="18"/>
              </w:rPr>
              <w:t>1.72</w:t>
            </w:r>
          </w:p>
        </w:tc>
        <w:tc>
          <w:tcPr>
            <w:tcW w:w="709" w:type="dxa"/>
            <w:tcBorders/>
          </w:tcPr>
          <w:p>
            <w:pPr>
              <w:pStyle w:val="Normal"/>
              <w:jc w:val="center"/>
              <w:rPr>
                <w:sz w:val="18"/>
              </w:rPr>
            </w:pPr>
            <w:r>
              <w:rPr>
                <w:sz w:val="18"/>
              </w:rPr>
              <w:t>17.21</w:t>
            </w:r>
          </w:p>
        </w:tc>
        <w:tc>
          <w:tcPr>
            <w:tcW w:w="709" w:type="dxa"/>
            <w:tcBorders/>
          </w:tcPr>
          <w:p>
            <w:pPr>
              <w:pStyle w:val="Normal"/>
              <w:jc w:val="center"/>
              <w:rPr>
                <w:sz w:val="18"/>
              </w:rPr>
            </w:pPr>
            <w:r>
              <w:rPr>
                <w:sz w:val="18"/>
              </w:rPr>
              <w:t>51.4</w:t>
            </w:r>
          </w:p>
        </w:tc>
        <w:tc>
          <w:tcPr>
            <w:tcW w:w="850" w:type="dxa"/>
            <w:tcBorders/>
          </w:tcPr>
          <w:p>
            <w:pPr>
              <w:pStyle w:val="Normal"/>
              <w:jc w:val="center"/>
              <w:rPr>
                <w:sz w:val="18"/>
              </w:rPr>
            </w:pPr>
            <w:r>
              <w:rPr>
                <w:sz w:val="18"/>
              </w:rPr>
              <w:t>312.3</w:t>
            </w:r>
          </w:p>
        </w:tc>
        <w:tc>
          <w:tcPr>
            <w:tcW w:w="851" w:type="dxa"/>
            <w:tcBorders>
              <w:end w:val="single" w:sz="12" w:space="0" w:color="000000"/>
            </w:tcBorders>
          </w:tcPr>
          <w:p>
            <w:pPr>
              <w:pStyle w:val="Normal"/>
              <w:jc w:val="center"/>
              <w:rPr>
                <w:sz w:val="18"/>
              </w:rPr>
            </w:pPr>
            <w:r>
              <w:rPr>
                <w:sz w:val="18"/>
              </w:rPr>
              <w:t>21.9</w:t>
            </w:r>
          </w:p>
        </w:tc>
      </w:tr>
      <w:tr>
        <w:trPr/>
        <w:tc>
          <w:tcPr>
            <w:tcW w:w="628" w:type="dxa"/>
            <w:tcBorders>
              <w:start w:val="single" w:sz="12" w:space="0" w:color="000000"/>
            </w:tcBorders>
          </w:tcPr>
          <w:p>
            <w:pPr>
              <w:pStyle w:val="Normal"/>
              <w:snapToGrid w:val="false"/>
              <w:jc w:val="center"/>
              <w:rPr>
                <w:b/>
                <w:sz w:val="16"/>
              </w:rPr>
            </w:pPr>
            <w:r>
              <w:rPr>
                <w:b/>
                <w:sz w:val="16"/>
              </w:rPr>
            </w:r>
          </w:p>
        </w:tc>
        <w:tc>
          <w:tcPr>
            <w:tcW w:w="396" w:type="dxa"/>
            <w:tcBorders>
              <w:start w:val="single" w:sz="6" w:space="0" w:color="000000"/>
              <w:end w:val="single" w:sz="6" w:space="0" w:color="000000"/>
            </w:tcBorders>
          </w:tcPr>
          <w:p>
            <w:pPr>
              <w:pStyle w:val="Normal"/>
              <w:jc w:val="center"/>
              <w:rPr>
                <w:sz w:val="14"/>
              </w:rPr>
            </w:pPr>
            <w:r>
              <w:rPr>
                <w:sz w:val="14"/>
              </w:rPr>
              <w:t>II</w:t>
            </w:r>
          </w:p>
        </w:tc>
        <w:tc>
          <w:tcPr>
            <w:tcW w:w="649" w:type="dxa"/>
            <w:tcBorders/>
          </w:tcPr>
          <w:p>
            <w:pPr>
              <w:pStyle w:val="Normal"/>
              <w:jc w:val="center"/>
              <w:rPr>
                <w:sz w:val="18"/>
              </w:rPr>
            </w:pPr>
            <w:r>
              <w:rPr>
                <w:sz w:val="18"/>
              </w:rPr>
              <w:t>0.35</w:t>
            </w:r>
          </w:p>
        </w:tc>
        <w:tc>
          <w:tcPr>
            <w:tcW w:w="850" w:type="dxa"/>
            <w:tcBorders/>
          </w:tcPr>
          <w:p>
            <w:pPr>
              <w:pStyle w:val="Normal"/>
              <w:jc w:val="center"/>
              <w:rPr>
                <w:sz w:val="18"/>
              </w:rPr>
            </w:pPr>
            <w:r>
              <w:rPr>
                <w:sz w:val="18"/>
              </w:rPr>
              <w:t>3.3</w:t>
            </w:r>
          </w:p>
        </w:tc>
        <w:tc>
          <w:tcPr>
            <w:tcW w:w="851" w:type="dxa"/>
            <w:tcBorders/>
          </w:tcPr>
          <w:p>
            <w:pPr>
              <w:pStyle w:val="Normal"/>
              <w:jc w:val="center"/>
              <w:rPr>
                <w:sz w:val="18"/>
              </w:rPr>
            </w:pPr>
            <w:r>
              <w:rPr>
                <w:sz w:val="18"/>
              </w:rPr>
              <w:t>4.3</w:t>
            </w:r>
          </w:p>
        </w:tc>
        <w:tc>
          <w:tcPr>
            <w:tcW w:w="724" w:type="dxa"/>
            <w:gridSpan w:val="2"/>
            <w:tcBorders/>
          </w:tcPr>
          <w:p>
            <w:pPr>
              <w:pStyle w:val="Normal"/>
              <w:jc w:val="center"/>
              <w:rPr>
                <w:sz w:val="18"/>
              </w:rPr>
            </w:pPr>
            <w:r>
              <w:rPr>
                <w:sz w:val="18"/>
              </w:rPr>
              <w:t>2.01</w:t>
            </w:r>
          </w:p>
        </w:tc>
        <w:tc>
          <w:tcPr>
            <w:tcW w:w="723" w:type="dxa"/>
            <w:gridSpan w:val="2"/>
            <w:tcBorders/>
          </w:tcPr>
          <w:p>
            <w:pPr>
              <w:pStyle w:val="Normal"/>
              <w:jc w:val="center"/>
              <w:rPr>
                <w:sz w:val="18"/>
              </w:rPr>
            </w:pPr>
            <w:r>
              <w:rPr>
                <w:sz w:val="18"/>
              </w:rPr>
              <w:t>31.5</w:t>
            </w:r>
          </w:p>
        </w:tc>
        <w:tc>
          <w:tcPr>
            <w:tcW w:w="679" w:type="dxa"/>
            <w:tcBorders/>
          </w:tcPr>
          <w:p>
            <w:pPr>
              <w:pStyle w:val="Normal"/>
              <w:jc w:val="center"/>
              <w:rPr>
                <w:sz w:val="18"/>
              </w:rPr>
            </w:pPr>
            <w:r>
              <w:rPr>
                <w:sz w:val="18"/>
              </w:rPr>
              <w:t>27.0</w:t>
            </w:r>
          </w:p>
        </w:tc>
        <w:tc>
          <w:tcPr>
            <w:tcW w:w="850" w:type="dxa"/>
            <w:tcBorders/>
          </w:tcPr>
          <w:p>
            <w:pPr>
              <w:pStyle w:val="Normal"/>
              <w:jc w:val="center"/>
              <w:rPr>
                <w:sz w:val="18"/>
              </w:rPr>
            </w:pPr>
            <w:r>
              <w:rPr>
                <w:sz w:val="18"/>
              </w:rPr>
              <w:t>1.77</w:t>
            </w:r>
          </w:p>
        </w:tc>
        <w:tc>
          <w:tcPr>
            <w:tcW w:w="709" w:type="dxa"/>
            <w:tcBorders/>
          </w:tcPr>
          <w:p>
            <w:pPr>
              <w:pStyle w:val="Normal"/>
              <w:jc w:val="center"/>
              <w:rPr>
                <w:sz w:val="18"/>
              </w:rPr>
            </w:pPr>
            <w:r>
              <w:rPr>
                <w:sz w:val="18"/>
              </w:rPr>
              <w:t>0.96</w:t>
            </w:r>
          </w:p>
        </w:tc>
        <w:tc>
          <w:tcPr>
            <w:tcW w:w="709" w:type="dxa"/>
            <w:tcBorders/>
          </w:tcPr>
          <w:p>
            <w:pPr>
              <w:pStyle w:val="Normal"/>
              <w:jc w:val="center"/>
              <w:rPr>
                <w:sz w:val="18"/>
              </w:rPr>
            </w:pPr>
            <w:r>
              <w:rPr>
                <w:sz w:val="18"/>
              </w:rPr>
              <w:t>53.0</w:t>
            </w:r>
          </w:p>
        </w:tc>
        <w:tc>
          <w:tcPr>
            <w:tcW w:w="850" w:type="dxa"/>
            <w:tcBorders/>
          </w:tcPr>
          <w:p>
            <w:pPr>
              <w:pStyle w:val="Normal"/>
              <w:jc w:val="center"/>
              <w:rPr>
                <w:sz w:val="18"/>
              </w:rPr>
            </w:pPr>
            <w:r>
              <w:rPr>
                <w:sz w:val="18"/>
              </w:rPr>
              <w:t>11.5</w:t>
            </w:r>
          </w:p>
        </w:tc>
        <w:tc>
          <w:tcPr>
            <w:tcW w:w="851" w:type="dxa"/>
            <w:tcBorders>
              <w:end w:val="single" w:sz="12" w:space="0" w:color="000000"/>
            </w:tcBorders>
          </w:tcPr>
          <w:p>
            <w:pPr>
              <w:pStyle w:val="Normal"/>
              <w:jc w:val="center"/>
              <w:rPr>
                <w:sz w:val="18"/>
              </w:rPr>
            </w:pPr>
            <w:r>
              <w:rPr>
                <w:sz w:val="18"/>
              </w:rPr>
              <w:t>21.8</w:t>
            </w:r>
          </w:p>
        </w:tc>
      </w:tr>
      <w:tr>
        <w:trPr/>
        <w:tc>
          <w:tcPr>
            <w:tcW w:w="628" w:type="dxa"/>
            <w:tcBorders>
              <w:start w:val="single" w:sz="12" w:space="0" w:color="000000"/>
            </w:tcBorders>
          </w:tcPr>
          <w:p>
            <w:pPr>
              <w:pStyle w:val="Normal"/>
              <w:snapToGrid w:val="false"/>
              <w:jc w:val="center"/>
              <w:rPr>
                <w:b/>
                <w:sz w:val="16"/>
              </w:rPr>
            </w:pPr>
            <w:r>
              <w:rPr>
                <w:b/>
                <w:sz w:val="16"/>
              </w:rPr>
            </w:r>
          </w:p>
        </w:tc>
        <w:tc>
          <w:tcPr>
            <w:tcW w:w="396" w:type="dxa"/>
            <w:tcBorders>
              <w:start w:val="single" w:sz="6" w:space="0" w:color="000000"/>
              <w:end w:val="single" w:sz="6" w:space="0" w:color="000000"/>
            </w:tcBorders>
          </w:tcPr>
          <w:p>
            <w:pPr>
              <w:pStyle w:val="Normal"/>
              <w:jc w:val="center"/>
              <w:rPr>
                <w:sz w:val="14"/>
              </w:rPr>
            </w:pPr>
            <w:r>
              <w:rPr>
                <w:sz w:val="14"/>
              </w:rPr>
              <w:t>III</w:t>
            </w:r>
          </w:p>
        </w:tc>
        <w:tc>
          <w:tcPr>
            <w:tcW w:w="649" w:type="dxa"/>
            <w:tcBorders/>
          </w:tcPr>
          <w:p>
            <w:pPr>
              <w:pStyle w:val="Normal"/>
              <w:jc w:val="center"/>
              <w:rPr>
                <w:sz w:val="18"/>
              </w:rPr>
            </w:pPr>
            <w:r>
              <w:rPr>
                <w:sz w:val="18"/>
              </w:rPr>
              <w:t>0.65</w:t>
            </w:r>
          </w:p>
        </w:tc>
        <w:tc>
          <w:tcPr>
            <w:tcW w:w="850" w:type="dxa"/>
            <w:tcBorders/>
          </w:tcPr>
          <w:p>
            <w:pPr>
              <w:pStyle w:val="Normal"/>
              <w:jc w:val="center"/>
              <w:rPr>
                <w:sz w:val="18"/>
              </w:rPr>
            </w:pPr>
            <w:r>
              <w:rPr>
                <w:sz w:val="18"/>
              </w:rPr>
              <w:t>6.3</w:t>
            </w:r>
          </w:p>
        </w:tc>
        <w:tc>
          <w:tcPr>
            <w:tcW w:w="851" w:type="dxa"/>
            <w:tcBorders/>
          </w:tcPr>
          <w:p>
            <w:pPr>
              <w:pStyle w:val="Normal"/>
              <w:jc w:val="center"/>
              <w:rPr>
                <w:sz w:val="18"/>
              </w:rPr>
            </w:pPr>
            <w:r>
              <w:rPr>
                <w:sz w:val="18"/>
              </w:rPr>
              <w:t>8.1</w:t>
            </w:r>
          </w:p>
        </w:tc>
        <w:tc>
          <w:tcPr>
            <w:tcW w:w="724" w:type="dxa"/>
            <w:gridSpan w:val="2"/>
            <w:tcBorders/>
          </w:tcPr>
          <w:p>
            <w:pPr>
              <w:pStyle w:val="Normal"/>
              <w:jc w:val="center"/>
              <w:rPr>
                <w:sz w:val="18"/>
              </w:rPr>
            </w:pPr>
            <w:r>
              <w:rPr>
                <w:sz w:val="18"/>
              </w:rPr>
              <w:t>1.57</w:t>
            </w:r>
          </w:p>
        </w:tc>
        <w:tc>
          <w:tcPr>
            <w:tcW w:w="723" w:type="dxa"/>
            <w:gridSpan w:val="2"/>
            <w:tcBorders/>
          </w:tcPr>
          <w:p>
            <w:pPr>
              <w:pStyle w:val="Normal"/>
              <w:jc w:val="center"/>
              <w:rPr>
                <w:sz w:val="18"/>
              </w:rPr>
            </w:pPr>
            <w:r>
              <w:rPr>
                <w:sz w:val="18"/>
              </w:rPr>
              <w:t>30.2</w:t>
            </w:r>
          </w:p>
        </w:tc>
        <w:tc>
          <w:tcPr>
            <w:tcW w:w="679" w:type="dxa"/>
            <w:tcBorders/>
          </w:tcPr>
          <w:p>
            <w:pPr>
              <w:pStyle w:val="Normal"/>
              <w:jc w:val="center"/>
              <w:rPr>
                <w:sz w:val="18"/>
              </w:rPr>
            </w:pPr>
            <w:r>
              <w:rPr>
                <w:sz w:val="18"/>
              </w:rPr>
              <w:t>20.6</w:t>
            </w:r>
          </w:p>
        </w:tc>
        <w:tc>
          <w:tcPr>
            <w:tcW w:w="850" w:type="dxa"/>
            <w:tcBorders/>
          </w:tcPr>
          <w:p>
            <w:pPr>
              <w:pStyle w:val="Normal"/>
              <w:jc w:val="center"/>
              <w:rPr>
                <w:sz w:val="18"/>
              </w:rPr>
            </w:pPr>
            <w:r>
              <w:rPr>
                <w:sz w:val="18"/>
              </w:rPr>
              <w:t>1.92</w:t>
            </w:r>
          </w:p>
        </w:tc>
        <w:tc>
          <w:tcPr>
            <w:tcW w:w="709" w:type="dxa"/>
            <w:tcBorders/>
          </w:tcPr>
          <w:p>
            <w:pPr>
              <w:pStyle w:val="Normal"/>
              <w:jc w:val="center"/>
              <w:rPr>
                <w:sz w:val="18"/>
              </w:rPr>
            </w:pPr>
            <w:r>
              <w:rPr>
                <w:sz w:val="18"/>
              </w:rPr>
              <w:t>2.84</w:t>
            </w:r>
          </w:p>
        </w:tc>
        <w:tc>
          <w:tcPr>
            <w:tcW w:w="709" w:type="dxa"/>
            <w:tcBorders/>
          </w:tcPr>
          <w:p>
            <w:pPr>
              <w:pStyle w:val="Normal"/>
              <w:jc w:val="center"/>
              <w:rPr>
                <w:sz w:val="18"/>
              </w:rPr>
            </w:pPr>
            <w:r>
              <w:rPr>
                <w:sz w:val="18"/>
              </w:rPr>
              <w:t>62.2</w:t>
            </w:r>
          </w:p>
        </w:tc>
        <w:tc>
          <w:tcPr>
            <w:tcW w:w="850" w:type="dxa"/>
            <w:tcBorders/>
          </w:tcPr>
          <w:p>
            <w:pPr>
              <w:pStyle w:val="Normal"/>
              <w:jc w:val="center"/>
              <w:rPr>
                <w:sz w:val="18"/>
              </w:rPr>
            </w:pPr>
            <w:r>
              <w:rPr>
                <w:sz w:val="18"/>
              </w:rPr>
              <w:t>39.3</w:t>
            </w:r>
          </w:p>
        </w:tc>
        <w:tc>
          <w:tcPr>
            <w:tcW w:w="851" w:type="dxa"/>
            <w:tcBorders>
              <w:end w:val="single" w:sz="12" w:space="0" w:color="000000"/>
            </w:tcBorders>
          </w:tcPr>
          <w:p>
            <w:pPr>
              <w:pStyle w:val="Normal"/>
              <w:jc w:val="center"/>
              <w:rPr>
                <w:sz w:val="18"/>
              </w:rPr>
            </w:pPr>
            <w:r>
              <w:rPr>
                <w:sz w:val="18"/>
              </w:rPr>
              <w:t>11.5</w:t>
            </w:r>
          </w:p>
        </w:tc>
      </w:tr>
      <w:tr>
        <w:trPr/>
        <w:tc>
          <w:tcPr>
            <w:tcW w:w="628" w:type="dxa"/>
            <w:tcBorders>
              <w:start w:val="single" w:sz="12" w:space="0" w:color="000000"/>
            </w:tcBorders>
          </w:tcPr>
          <w:p>
            <w:pPr>
              <w:pStyle w:val="Normal"/>
              <w:snapToGrid w:val="false"/>
              <w:jc w:val="center"/>
              <w:rPr>
                <w:b/>
                <w:sz w:val="16"/>
              </w:rPr>
            </w:pPr>
            <w:r>
              <w:rPr>
                <w:b/>
                <w:sz w:val="16"/>
              </w:rPr>
            </w:r>
          </w:p>
        </w:tc>
        <w:tc>
          <w:tcPr>
            <w:tcW w:w="396" w:type="dxa"/>
            <w:tcBorders>
              <w:start w:val="single" w:sz="6" w:space="0" w:color="000000"/>
              <w:end w:val="single" w:sz="6" w:space="0" w:color="000000"/>
            </w:tcBorders>
          </w:tcPr>
          <w:p>
            <w:pPr>
              <w:pStyle w:val="Normal"/>
              <w:jc w:val="center"/>
              <w:rPr>
                <w:sz w:val="14"/>
              </w:rPr>
            </w:pPr>
            <w:r>
              <w:rPr>
                <w:sz w:val="14"/>
              </w:rPr>
              <w:t>IV</w:t>
            </w:r>
          </w:p>
        </w:tc>
        <w:tc>
          <w:tcPr>
            <w:tcW w:w="649" w:type="dxa"/>
            <w:tcBorders/>
          </w:tcPr>
          <w:p>
            <w:pPr>
              <w:pStyle w:val="Normal"/>
              <w:jc w:val="center"/>
              <w:rPr>
                <w:sz w:val="18"/>
              </w:rPr>
            </w:pPr>
            <w:r>
              <w:rPr>
                <w:sz w:val="18"/>
              </w:rPr>
              <w:t>0.91</w:t>
            </w:r>
          </w:p>
        </w:tc>
        <w:tc>
          <w:tcPr>
            <w:tcW w:w="850" w:type="dxa"/>
            <w:tcBorders/>
          </w:tcPr>
          <w:p>
            <w:pPr>
              <w:pStyle w:val="Normal"/>
              <w:jc w:val="center"/>
              <w:rPr>
                <w:sz w:val="18"/>
              </w:rPr>
            </w:pPr>
            <w:r>
              <w:rPr>
                <w:sz w:val="18"/>
              </w:rPr>
              <w:t>8.9</w:t>
            </w:r>
          </w:p>
        </w:tc>
        <w:tc>
          <w:tcPr>
            <w:tcW w:w="851" w:type="dxa"/>
            <w:tcBorders/>
          </w:tcPr>
          <w:p>
            <w:pPr>
              <w:pStyle w:val="Normal"/>
              <w:jc w:val="center"/>
              <w:rPr>
                <w:sz w:val="18"/>
              </w:rPr>
            </w:pPr>
            <w:r>
              <w:rPr>
                <w:sz w:val="18"/>
              </w:rPr>
              <w:t>11.5</w:t>
            </w:r>
          </w:p>
        </w:tc>
        <w:tc>
          <w:tcPr>
            <w:tcW w:w="724" w:type="dxa"/>
            <w:gridSpan w:val="2"/>
            <w:tcBorders/>
          </w:tcPr>
          <w:p>
            <w:pPr>
              <w:pStyle w:val="Normal"/>
              <w:jc w:val="center"/>
              <w:rPr>
                <w:sz w:val="18"/>
              </w:rPr>
            </w:pPr>
            <w:r>
              <w:rPr>
                <w:sz w:val="18"/>
              </w:rPr>
              <w:t>1.46</w:t>
            </w:r>
          </w:p>
        </w:tc>
        <w:tc>
          <w:tcPr>
            <w:tcW w:w="723" w:type="dxa"/>
            <w:gridSpan w:val="2"/>
            <w:tcBorders/>
          </w:tcPr>
          <w:p>
            <w:pPr>
              <w:pStyle w:val="Normal"/>
              <w:jc w:val="center"/>
              <w:rPr>
                <w:sz w:val="18"/>
              </w:rPr>
            </w:pPr>
            <w:r>
              <w:rPr>
                <w:sz w:val="18"/>
              </w:rPr>
              <w:t>25.6</w:t>
            </w:r>
          </w:p>
        </w:tc>
        <w:tc>
          <w:tcPr>
            <w:tcW w:w="679" w:type="dxa"/>
            <w:tcBorders/>
          </w:tcPr>
          <w:p>
            <w:pPr>
              <w:pStyle w:val="Normal"/>
              <w:jc w:val="center"/>
              <w:rPr>
                <w:sz w:val="18"/>
              </w:rPr>
            </w:pPr>
            <w:r>
              <w:rPr>
                <w:sz w:val="18"/>
              </w:rPr>
              <w:t>19.0</w:t>
            </w:r>
          </w:p>
        </w:tc>
        <w:tc>
          <w:tcPr>
            <w:tcW w:w="850" w:type="dxa"/>
            <w:tcBorders/>
          </w:tcPr>
          <w:p>
            <w:pPr>
              <w:pStyle w:val="Normal"/>
              <w:jc w:val="center"/>
              <w:rPr>
                <w:sz w:val="18"/>
              </w:rPr>
            </w:pPr>
            <w:r>
              <w:rPr>
                <w:sz w:val="18"/>
              </w:rPr>
              <w:t>1.79</w:t>
            </w:r>
          </w:p>
        </w:tc>
        <w:tc>
          <w:tcPr>
            <w:tcW w:w="709" w:type="dxa"/>
            <w:tcBorders/>
          </w:tcPr>
          <w:p>
            <w:pPr>
              <w:pStyle w:val="Normal"/>
              <w:jc w:val="center"/>
              <w:rPr>
                <w:sz w:val="18"/>
              </w:rPr>
            </w:pPr>
            <w:r>
              <w:rPr>
                <w:sz w:val="18"/>
              </w:rPr>
              <w:t>-2.30</w:t>
            </w:r>
          </w:p>
        </w:tc>
        <w:tc>
          <w:tcPr>
            <w:tcW w:w="709" w:type="dxa"/>
            <w:tcBorders/>
          </w:tcPr>
          <w:p>
            <w:pPr>
              <w:pStyle w:val="Normal"/>
              <w:jc w:val="center"/>
              <w:rPr>
                <w:sz w:val="18"/>
              </w:rPr>
            </w:pPr>
            <w:r>
              <w:rPr>
                <w:sz w:val="18"/>
              </w:rPr>
              <w:t>48.0</w:t>
            </w:r>
          </w:p>
        </w:tc>
        <w:tc>
          <w:tcPr>
            <w:tcW w:w="850" w:type="dxa"/>
            <w:tcBorders/>
          </w:tcPr>
          <w:p>
            <w:pPr>
              <w:pStyle w:val="Normal"/>
              <w:jc w:val="center"/>
              <w:rPr>
                <w:sz w:val="18"/>
              </w:rPr>
            </w:pPr>
            <w:r>
              <w:rPr>
                <w:sz w:val="18"/>
              </w:rPr>
              <w:t>-25.0</w:t>
            </w:r>
          </w:p>
        </w:tc>
        <w:tc>
          <w:tcPr>
            <w:tcW w:w="851" w:type="dxa"/>
            <w:tcBorders>
              <w:end w:val="single" w:sz="12" w:space="0" w:color="000000"/>
            </w:tcBorders>
          </w:tcPr>
          <w:p>
            <w:pPr>
              <w:pStyle w:val="Normal"/>
              <w:jc w:val="center"/>
              <w:rPr>
                <w:sz w:val="18"/>
              </w:rPr>
            </w:pPr>
            <w:r>
              <w:rPr>
                <w:sz w:val="18"/>
              </w:rPr>
              <w:t>6.7</w:t>
            </w:r>
          </w:p>
        </w:tc>
      </w:tr>
      <w:tr>
        <w:trPr/>
        <w:tc>
          <w:tcPr>
            <w:tcW w:w="628" w:type="dxa"/>
            <w:tcBorders>
              <w:start w:val="single" w:sz="12" w:space="0" w:color="000000"/>
            </w:tcBorders>
          </w:tcPr>
          <w:p>
            <w:pPr>
              <w:pStyle w:val="Normal"/>
              <w:jc w:val="center"/>
              <w:rPr>
                <w:b/>
                <w:sz w:val="16"/>
              </w:rPr>
            </w:pPr>
            <w:r>
              <w:rPr>
                <w:b/>
                <w:sz w:val="16"/>
              </w:rPr>
              <w:t>2000</w:t>
            </w:r>
          </w:p>
        </w:tc>
        <w:tc>
          <w:tcPr>
            <w:tcW w:w="396" w:type="dxa"/>
            <w:tcBorders>
              <w:start w:val="single" w:sz="6" w:space="0" w:color="000000"/>
              <w:end w:val="single" w:sz="6" w:space="0" w:color="000000"/>
            </w:tcBorders>
          </w:tcPr>
          <w:p>
            <w:pPr>
              <w:pStyle w:val="Normal"/>
              <w:jc w:val="center"/>
              <w:rPr>
                <w:sz w:val="14"/>
              </w:rPr>
            </w:pPr>
            <w:r>
              <w:rPr>
                <w:sz w:val="14"/>
              </w:rPr>
              <w:t>I</w:t>
            </w:r>
          </w:p>
        </w:tc>
        <w:tc>
          <w:tcPr>
            <w:tcW w:w="649" w:type="dxa"/>
            <w:tcBorders/>
          </w:tcPr>
          <w:p>
            <w:pPr>
              <w:pStyle w:val="Normal"/>
              <w:jc w:val="center"/>
              <w:rPr>
                <w:sz w:val="18"/>
              </w:rPr>
            </w:pPr>
            <w:r>
              <w:rPr>
                <w:sz w:val="18"/>
              </w:rPr>
              <w:t>0.32</w:t>
            </w:r>
          </w:p>
        </w:tc>
        <w:tc>
          <w:tcPr>
            <w:tcW w:w="850" w:type="dxa"/>
            <w:tcBorders/>
          </w:tcPr>
          <w:p>
            <w:pPr>
              <w:pStyle w:val="Normal"/>
              <w:jc w:val="center"/>
              <w:rPr>
                <w:sz w:val="18"/>
              </w:rPr>
            </w:pPr>
            <w:r>
              <w:rPr>
                <w:sz w:val="18"/>
              </w:rPr>
              <w:t>6.9</w:t>
            </w:r>
          </w:p>
        </w:tc>
        <w:tc>
          <w:tcPr>
            <w:tcW w:w="851" w:type="dxa"/>
            <w:tcBorders/>
          </w:tcPr>
          <w:p>
            <w:pPr>
              <w:pStyle w:val="Normal"/>
              <w:jc w:val="center"/>
              <w:rPr>
                <w:sz w:val="18"/>
              </w:rPr>
            </w:pPr>
            <w:r>
              <w:rPr>
                <w:sz w:val="18"/>
              </w:rPr>
              <w:t>4.0</w:t>
            </w:r>
          </w:p>
        </w:tc>
        <w:tc>
          <w:tcPr>
            <w:tcW w:w="708" w:type="dxa"/>
            <w:tcBorders/>
          </w:tcPr>
          <w:p>
            <w:pPr>
              <w:pStyle w:val="Normal"/>
              <w:jc w:val="center"/>
              <w:rPr>
                <w:sz w:val="18"/>
              </w:rPr>
            </w:pPr>
            <w:r>
              <w:rPr>
                <w:sz w:val="18"/>
              </w:rPr>
              <w:t>1.45</w:t>
            </w:r>
          </w:p>
        </w:tc>
        <w:tc>
          <w:tcPr>
            <w:tcW w:w="709" w:type="dxa"/>
            <w:gridSpan w:val="2"/>
            <w:tcBorders/>
          </w:tcPr>
          <w:p>
            <w:pPr>
              <w:pStyle w:val="Normal"/>
              <w:jc w:val="center"/>
              <w:rPr>
                <w:sz w:val="18"/>
              </w:rPr>
            </w:pPr>
            <w:r>
              <w:rPr>
                <w:sz w:val="18"/>
              </w:rPr>
              <w:t>21.3</w:t>
            </w:r>
          </w:p>
        </w:tc>
        <w:tc>
          <w:tcPr>
            <w:tcW w:w="709" w:type="dxa"/>
            <w:gridSpan w:val="2"/>
            <w:tcBorders/>
          </w:tcPr>
          <w:p>
            <w:pPr>
              <w:pStyle w:val="Normal"/>
              <w:jc w:val="center"/>
              <w:rPr>
                <w:sz w:val="18"/>
              </w:rPr>
            </w:pPr>
            <w:r>
              <w:rPr>
                <w:sz w:val="18"/>
              </w:rPr>
              <w:t>18.9</w:t>
            </w:r>
          </w:p>
        </w:tc>
        <w:tc>
          <w:tcPr>
            <w:tcW w:w="850" w:type="dxa"/>
            <w:tcBorders/>
          </w:tcPr>
          <w:p>
            <w:pPr>
              <w:pStyle w:val="Normal"/>
              <w:jc w:val="center"/>
              <w:rPr>
                <w:sz w:val="18"/>
              </w:rPr>
            </w:pPr>
            <w:r>
              <w:rPr>
                <w:sz w:val="18"/>
              </w:rPr>
              <w:t>1.75</w:t>
            </w:r>
          </w:p>
        </w:tc>
        <w:tc>
          <w:tcPr>
            <w:tcW w:w="709" w:type="dxa"/>
            <w:tcBorders/>
          </w:tcPr>
          <w:p>
            <w:pPr>
              <w:pStyle w:val="Normal"/>
              <w:jc w:val="center"/>
              <w:rPr>
                <w:sz w:val="18"/>
              </w:rPr>
            </w:pPr>
            <w:r>
              <w:rPr>
                <w:sz w:val="18"/>
              </w:rPr>
              <w:t>-0.78</w:t>
            </w:r>
          </w:p>
        </w:tc>
        <w:tc>
          <w:tcPr>
            <w:tcW w:w="709" w:type="dxa"/>
            <w:tcBorders/>
          </w:tcPr>
          <w:p>
            <w:pPr>
              <w:pStyle w:val="Normal"/>
              <w:jc w:val="center"/>
              <w:rPr>
                <w:sz w:val="18"/>
              </w:rPr>
            </w:pPr>
            <w:r>
              <w:rPr>
                <w:sz w:val="18"/>
              </w:rPr>
              <w:t>1.5</w:t>
            </w:r>
          </w:p>
        </w:tc>
        <w:tc>
          <w:tcPr>
            <w:tcW w:w="850" w:type="dxa"/>
            <w:tcBorders/>
          </w:tcPr>
          <w:p>
            <w:pPr>
              <w:pStyle w:val="Normal"/>
              <w:jc w:val="center"/>
              <w:rPr>
                <w:sz w:val="18"/>
              </w:rPr>
            </w:pPr>
            <w:r>
              <w:rPr>
                <w:sz w:val="18"/>
              </w:rPr>
              <w:t>-9.0</w:t>
            </w:r>
          </w:p>
        </w:tc>
        <w:tc>
          <w:tcPr>
            <w:tcW w:w="851" w:type="dxa"/>
            <w:tcBorders>
              <w:end w:val="single" w:sz="12" w:space="0" w:color="000000"/>
            </w:tcBorders>
          </w:tcPr>
          <w:p>
            <w:pPr>
              <w:pStyle w:val="Normal"/>
              <w:jc w:val="center"/>
              <w:rPr>
                <w:sz w:val="18"/>
              </w:rPr>
            </w:pPr>
            <w:r>
              <w:rPr>
                <w:sz w:val="18"/>
              </w:rPr>
              <w:t>14.4</w:t>
            </w:r>
          </w:p>
        </w:tc>
      </w:tr>
      <w:tr>
        <w:trPr/>
        <w:tc>
          <w:tcPr>
            <w:tcW w:w="628" w:type="dxa"/>
            <w:tcBorders>
              <w:start w:val="single" w:sz="12" w:space="0" w:color="000000"/>
            </w:tcBorders>
          </w:tcPr>
          <w:p>
            <w:pPr>
              <w:pStyle w:val="Normal"/>
              <w:snapToGrid w:val="false"/>
              <w:jc w:val="center"/>
              <w:rPr>
                <w:b/>
                <w:sz w:val="16"/>
              </w:rPr>
            </w:pPr>
            <w:r>
              <w:rPr>
                <w:b/>
                <w:sz w:val="16"/>
              </w:rPr>
            </w:r>
          </w:p>
        </w:tc>
        <w:tc>
          <w:tcPr>
            <w:tcW w:w="396" w:type="dxa"/>
            <w:tcBorders>
              <w:start w:val="single" w:sz="6" w:space="0" w:color="000000"/>
              <w:end w:val="single" w:sz="6" w:space="0" w:color="000000"/>
            </w:tcBorders>
          </w:tcPr>
          <w:p>
            <w:pPr>
              <w:pStyle w:val="Normal"/>
              <w:jc w:val="center"/>
              <w:rPr>
                <w:sz w:val="14"/>
              </w:rPr>
            </w:pPr>
            <w:r>
              <w:rPr>
                <w:sz w:val="14"/>
              </w:rPr>
              <w:t>II</w:t>
            </w:r>
          </w:p>
        </w:tc>
        <w:tc>
          <w:tcPr>
            <w:tcW w:w="649" w:type="dxa"/>
            <w:tcBorders/>
          </w:tcPr>
          <w:p>
            <w:pPr>
              <w:pStyle w:val="Normal"/>
              <w:jc w:val="center"/>
              <w:rPr>
                <w:sz w:val="18"/>
              </w:rPr>
            </w:pPr>
            <w:r>
              <w:rPr>
                <w:sz w:val="18"/>
              </w:rPr>
              <w:t>0.52</w:t>
            </w:r>
          </w:p>
        </w:tc>
        <w:tc>
          <w:tcPr>
            <w:tcW w:w="850" w:type="dxa"/>
            <w:tcBorders/>
          </w:tcPr>
          <w:p>
            <w:pPr>
              <w:pStyle w:val="Normal"/>
              <w:jc w:val="center"/>
              <w:rPr>
                <w:sz w:val="18"/>
              </w:rPr>
            </w:pPr>
            <w:r>
              <w:rPr>
                <w:sz w:val="18"/>
              </w:rPr>
              <w:t>7.5</w:t>
            </w:r>
          </w:p>
        </w:tc>
        <w:tc>
          <w:tcPr>
            <w:tcW w:w="851" w:type="dxa"/>
            <w:tcBorders/>
          </w:tcPr>
          <w:p>
            <w:pPr>
              <w:pStyle w:val="Normal"/>
              <w:jc w:val="center"/>
              <w:rPr>
                <w:sz w:val="18"/>
              </w:rPr>
            </w:pPr>
            <w:r>
              <w:rPr>
                <w:sz w:val="18"/>
              </w:rPr>
              <w:t>6.4</w:t>
            </w:r>
          </w:p>
        </w:tc>
        <w:tc>
          <w:tcPr>
            <w:tcW w:w="708" w:type="dxa"/>
            <w:tcBorders/>
          </w:tcPr>
          <w:p>
            <w:pPr>
              <w:pStyle w:val="Normal"/>
              <w:jc w:val="center"/>
              <w:rPr>
                <w:sz w:val="18"/>
              </w:rPr>
            </w:pPr>
            <w:r>
              <w:rPr>
                <w:sz w:val="18"/>
              </w:rPr>
              <w:t>1.39</w:t>
            </w:r>
          </w:p>
        </w:tc>
        <w:tc>
          <w:tcPr>
            <w:tcW w:w="709" w:type="dxa"/>
            <w:gridSpan w:val="2"/>
            <w:tcBorders/>
          </w:tcPr>
          <w:p>
            <w:pPr>
              <w:pStyle w:val="Normal"/>
              <w:jc w:val="center"/>
              <w:rPr>
                <w:sz w:val="18"/>
              </w:rPr>
            </w:pPr>
            <w:r>
              <w:rPr>
                <w:sz w:val="18"/>
              </w:rPr>
              <w:t>19.1</w:t>
            </w:r>
          </w:p>
        </w:tc>
        <w:tc>
          <w:tcPr>
            <w:tcW w:w="709" w:type="dxa"/>
            <w:gridSpan w:val="2"/>
            <w:tcBorders/>
          </w:tcPr>
          <w:p>
            <w:pPr>
              <w:pStyle w:val="Normal"/>
              <w:jc w:val="center"/>
              <w:rPr>
                <w:sz w:val="18"/>
              </w:rPr>
            </w:pPr>
            <w:r>
              <w:rPr>
                <w:sz w:val="18"/>
              </w:rPr>
              <w:t>18.0</w:t>
            </w:r>
          </w:p>
        </w:tc>
        <w:tc>
          <w:tcPr>
            <w:tcW w:w="850" w:type="dxa"/>
            <w:tcBorders/>
          </w:tcPr>
          <w:p>
            <w:pPr>
              <w:pStyle w:val="Normal"/>
              <w:jc w:val="center"/>
              <w:rPr>
                <w:sz w:val="18"/>
              </w:rPr>
            </w:pPr>
            <w:r>
              <w:rPr>
                <w:sz w:val="18"/>
              </w:rPr>
              <w:t>1.75</w:t>
            </w:r>
          </w:p>
        </w:tc>
        <w:tc>
          <w:tcPr>
            <w:tcW w:w="709" w:type="dxa"/>
            <w:tcBorders/>
          </w:tcPr>
          <w:p>
            <w:pPr>
              <w:pStyle w:val="Normal"/>
              <w:jc w:val="center"/>
              <w:rPr>
                <w:sz w:val="18"/>
              </w:rPr>
            </w:pPr>
            <w:r>
              <w:rPr>
                <w:sz w:val="18"/>
              </w:rPr>
              <w:t>0.00</w:t>
            </w:r>
          </w:p>
        </w:tc>
        <w:tc>
          <w:tcPr>
            <w:tcW w:w="709" w:type="dxa"/>
            <w:tcBorders/>
          </w:tcPr>
          <w:p>
            <w:pPr>
              <w:pStyle w:val="Normal"/>
              <w:jc w:val="center"/>
              <w:rPr>
                <w:sz w:val="18"/>
              </w:rPr>
            </w:pPr>
            <w:r>
              <w:rPr>
                <w:sz w:val="18"/>
              </w:rPr>
              <w:t>-1.1</w:t>
            </w:r>
          </w:p>
        </w:tc>
        <w:tc>
          <w:tcPr>
            <w:tcW w:w="850" w:type="dxa"/>
            <w:tcBorders/>
          </w:tcPr>
          <w:p>
            <w:pPr>
              <w:pStyle w:val="Normal"/>
              <w:jc w:val="center"/>
              <w:rPr>
                <w:sz w:val="18"/>
              </w:rPr>
            </w:pPr>
            <w:r>
              <w:rPr>
                <w:sz w:val="18"/>
              </w:rPr>
              <w:t>0.8</w:t>
            </w:r>
          </w:p>
        </w:tc>
        <w:tc>
          <w:tcPr>
            <w:tcW w:w="851" w:type="dxa"/>
            <w:tcBorders>
              <w:end w:val="single" w:sz="12" w:space="0" w:color="000000"/>
            </w:tcBorders>
          </w:tcPr>
          <w:p>
            <w:pPr>
              <w:pStyle w:val="Normal"/>
              <w:jc w:val="center"/>
              <w:rPr>
                <w:sz w:val="18"/>
              </w:rPr>
            </w:pPr>
            <w:r>
              <w:rPr>
                <w:sz w:val="18"/>
              </w:rPr>
              <w:t>10.9</w:t>
            </w:r>
          </w:p>
        </w:tc>
      </w:tr>
      <w:tr>
        <w:trPr/>
        <w:tc>
          <w:tcPr>
            <w:tcW w:w="628" w:type="dxa"/>
            <w:tcBorders>
              <w:start w:val="single" w:sz="12" w:space="0" w:color="000000"/>
            </w:tcBorders>
          </w:tcPr>
          <w:p>
            <w:pPr>
              <w:pStyle w:val="Normal"/>
              <w:snapToGrid w:val="false"/>
              <w:jc w:val="center"/>
              <w:rPr>
                <w:b/>
                <w:sz w:val="16"/>
              </w:rPr>
            </w:pPr>
            <w:r>
              <w:rPr>
                <w:b/>
                <w:sz w:val="16"/>
              </w:rPr>
            </w:r>
          </w:p>
        </w:tc>
        <w:tc>
          <w:tcPr>
            <w:tcW w:w="396" w:type="dxa"/>
            <w:tcBorders>
              <w:start w:val="single" w:sz="6" w:space="0" w:color="000000"/>
              <w:end w:val="single" w:sz="6" w:space="0" w:color="000000"/>
            </w:tcBorders>
          </w:tcPr>
          <w:p>
            <w:pPr>
              <w:pStyle w:val="Normal"/>
              <w:jc w:val="center"/>
              <w:rPr>
                <w:sz w:val="14"/>
              </w:rPr>
            </w:pPr>
            <w:r>
              <w:rPr>
                <w:sz w:val="14"/>
              </w:rPr>
              <w:t>III</w:t>
            </w:r>
          </w:p>
        </w:tc>
        <w:tc>
          <w:tcPr>
            <w:tcW w:w="649" w:type="dxa"/>
            <w:tcBorders/>
          </w:tcPr>
          <w:p>
            <w:pPr>
              <w:pStyle w:val="Normal"/>
              <w:jc w:val="center"/>
              <w:rPr>
                <w:sz w:val="18"/>
              </w:rPr>
            </w:pPr>
            <w:r>
              <w:rPr>
                <w:sz w:val="18"/>
              </w:rPr>
              <w:t>0.62</w:t>
            </w:r>
          </w:p>
        </w:tc>
        <w:tc>
          <w:tcPr>
            <w:tcW w:w="850" w:type="dxa"/>
            <w:tcBorders/>
          </w:tcPr>
          <w:p>
            <w:pPr>
              <w:pStyle w:val="Normal"/>
              <w:jc w:val="center"/>
              <w:rPr>
                <w:sz w:val="18"/>
              </w:rPr>
            </w:pPr>
            <w:r>
              <w:rPr>
                <w:sz w:val="18"/>
              </w:rPr>
              <w:t>7.3</w:t>
            </w:r>
          </w:p>
        </w:tc>
        <w:tc>
          <w:tcPr>
            <w:tcW w:w="851" w:type="dxa"/>
            <w:tcBorders/>
          </w:tcPr>
          <w:p>
            <w:pPr>
              <w:pStyle w:val="Normal"/>
              <w:jc w:val="center"/>
              <w:rPr>
                <w:sz w:val="18"/>
              </w:rPr>
            </w:pPr>
            <w:r>
              <w:rPr>
                <w:sz w:val="18"/>
              </w:rPr>
              <w:t>7.7</w:t>
            </w:r>
          </w:p>
        </w:tc>
        <w:tc>
          <w:tcPr>
            <w:tcW w:w="708" w:type="dxa"/>
            <w:tcBorders/>
          </w:tcPr>
          <w:p>
            <w:pPr>
              <w:pStyle w:val="Normal"/>
              <w:jc w:val="center"/>
              <w:rPr>
                <w:sz w:val="18"/>
              </w:rPr>
            </w:pPr>
            <w:r>
              <w:rPr>
                <w:sz w:val="18"/>
              </w:rPr>
              <w:t>1.36</w:t>
            </w:r>
          </w:p>
        </w:tc>
        <w:tc>
          <w:tcPr>
            <w:tcW w:w="709" w:type="dxa"/>
            <w:gridSpan w:val="2"/>
            <w:tcBorders/>
          </w:tcPr>
          <w:p>
            <w:pPr>
              <w:pStyle w:val="Normal"/>
              <w:jc w:val="center"/>
              <w:rPr>
                <w:sz w:val="18"/>
              </w:rPr>
            </w:pPr>
            <w:r>
              <w:rPr>
                <w:sz w:val="18"/>
              </w:rPr>
              <w:t>18.4</w:t>
            </w:r>
          </w:p>
        </w:tc>
        <w:tc>
          <w:tcPr>
            <w:tcW w:w="709" w:type="dxa"/>
            <w:gridSpan w:val="2"/>
            <w:tcBorders/>
          </w:tcPr>
          <w:p>
            <w:pPr>
              <w:pStyle w:val="Normal"/>
              <w:rPr>
                <w:sz w:val="18"/>
              </w:rPr>
            </w:pPr>
            <w:r>
              <w:rPr>
                <w:sz w:val="18"/>
              </w:rPr>
              <w:t xml:space="preserve"> </w:t>
            </w:r>
            <w:r>
              <w:rPr>
                <w:sz w:val="18"/>
              </w:rPr>
              <w:t>17.7</w:t>
            </w:r>
          </w:p>
        </w:tc>
        <w:tc>
          <w:tcPr>
            <w:tcW w:w="850" w:type="dxa"/>
            <w:tcBorders/>
          </w:tcPr>
          <w:p>
            <w:pPr>
              <w:pStyle w:val="Normal"/>
              <w:jc w:val="center"/>
              <w:rPr>
                <w:sz w:val="18"/>
              </w:rPr>
            </w:pPr>
            <w:r>
              <w:rPr>
                <w:sz w:val="18"/>
              </w:rPr>
              <w:t>1.75</w:t>
            </w:r>
          </w:p>
        </w:tc>
        <w:tc>
          <w:tcPr>
            <w:tcW w:w="709" w:type="dxa"/>
            <w:tcBorders/>
          </w:tcPr>
          <w:p>
            <w:pPr>
              <w:pStyle w:val="Normal"/>
              <w:jc w:val="center"/>
              <w:rPr>
                <w:sz w:val="18"/>
              </w:rPr>
            </w:pPr>
            <w:r>
              <w:rPr>
                <w:sz w:val="18"/>
              </w:rPr>
              <w:t>0.00</w:t>
            </w:r>
          </w:p>
        </w:tc>
        <w:tc>
          <w:tcPr>
            <w:tcW w:w="709" w:type="dxa"/>
            <w:tcBorders/>
          </w:tcPr>
          <w:p>
            <w:pPr>
              <w:pStyle w:val="Normal"/>
              <w:jc w:val="center"/>
              <w:rPr>
                <w:sz w:val="18"/>
              </w:rPr>
            </w:pPr>
            <w:r>
              <w:rPr>
                <w:sz w:val="18"/>
              </w:rPr>
              <w:t>-8.9</w:t>
            </w:r>
          </w:p>
        </w:tc>
        <w:tc>
          <w:tcPr>
            <w:tcW w:w="850" w:type="dxa"/>
            <w:tcBorders/>
          </w:tcPr>
          <w:p>
            <w:pPr>
              <w:pStyle w:val="Normal"/>
              <w:jc w:val="center"/>
              <w:rPr>
                <w:sz w:val="18"/>
              </w:rPr>
            </w:pPr>
            <w:r>
              <w:rPr>
                <w:sz w:val="18"/>
              </w:rPr>
              <w:t>0.0</w:t>
            </w:r>
          </w:p>
        </w:tc>
        <w:tc>
          <w:tcPr>
            <w:tcW w:w="851" w:type="dxa"/>
            <w:tcBorders>
              <w:end w:val="single" w:sz="12" w:space="0" w:color="000000"/>
            </w:tcBorders>
          </w:tcPr>
          <w:p>
            <w:pPr>
              <w:pStyle w:val="Normal"/>
              <w:jc w:val="center"/>
              <w:rPr>
                <w:sz w:val="18"/>
              </w:rPr>
            </w:pPr>
            <w:r>
              <w:rPr>
                <w:sz w:val="18"/>
              </w:rPr>
              <w:t>9.3</w:t>
            </w:r>
          </w:p>
        </w:tc>
      </w:tr>
      <w:tr>
        <w:trPr/>
        <w:tc>
          <w:tcPr>
            <w:tcW w:w="628" w:type="dxa"/>
            <w:tcBorders>
              <w:start w:val="single" w:sz="12" w:space="0" w:color="000000"/>
              <w:bottom w:val="single" w:sz="6" w:space="0" w:color="000000"/>
            </w:tcBorders>
          </w:tcPr>
          <w:p>
            <w:pPr>
              <w:pStyle w:val="Normal"/>
              <w:snapToGrid w:val="false"/>
              <w:jc w:val="center"/>
              <w:rPr>
                <w:b/>
                <w:sz w:val="16"/>
              </w:rPr>
            </w:pPr>
            <w:r>
              <w:rPr>
                <w:b/>
                <w:sz w:val="16"/>
              </w:rPr>
            </w:r>
          </w:p>
        </w:tc>
        <w:tc>
          <w:tcPr>
            <w:tcW w:w="396" w:type="dxa"/>
            <w:tcBorders>
              <w:start w:val="single" w:sz="6" w:space="0" w:color="000000"/>
              <w:end w:val="single" w:sz="6" w:space="0" w:color="000000"/>
            </w:tcBorders>
          </w:tcPr>
          <w:p>
            <w:pPr>
              <w:pStyle w:val="Normal"/>
              <w:jc w:val="center"/>
              <w:rPr>
                <w:sz w:val="14"/>
              </w:rPr>
            </w:pPr>
            <w:r>
              <w:rPr>
                <w:sz w:val="14"/>
              </w:rPr>
              <w:t>IV</w:t>
            </w:r>
          </w:p>
        </w:tc>
        <w:tc>
          <w:tcPr>
            <w:tcW w:w="649" w:type="dxa"/>
            <w:tcBorders>
              <w:bottom w:val="single" w:sz="6" w:space="0" w:color="000000"/>
            </w:tcBorders>
          </w:tcPr>
          <w:p>
            <w:pPr>
              <w:pStyle w:val="Normal"/>
              <w:jc w:val="center"/>
              <w:rPr>
                <w:sz w:val="18"/>
              </w:rPr>
            </w:pPr>
            <w:r>
              <w:rPr>
                <w:sz w:val="18"/>
              </w:rPr>
              <w:t>0.52</w:t>
            </w:r>
          </w:p>
        </w:tc>
        <w:tc>
          <w:tcPr>
            <w:tcW w:w="850" w:type="dxa"/>
            <w:tcBorders>
              <w:bottom w:val="single" w:sz="6" w:space="0" w:color="000000"/>
            </w:tcBorders>
          </w:tcPr>
          <w:p>
            <w:pPr>
              <w:pStyle w:val="Normal"/>
              <w:jc w:val="center"/>
              <w:rPr>
                <w:sz w:val="18"/>
              </w:rPr>
            </w:pPr>
            <w:r>
              <w:rPr>
                <w:sz w:val="18"/>
              </w:rPr>
              <w:t>6.1</w:t>
            </w:r>
          </w:p>
        </w:tc>
        <w:tc>
          <w:tcPr>
            <w:tcW w:w="851" w:type="dxa"/>
            <w:tcBorders>
              <w:bottom w:val="single" w:sz="6" w:space="0" w:color="000000"/>
            </w:tcBorders>
          </w:tcPr>
          <w:p>
            <w:pPr>
              <w:pStyle w:val="Normal"/>
              <w:jc w:val="center"/>
              <w:rPr>
                <w:sz w:val="18"/>
              </w:rPr>
            </w:pPr>
            <w:r>
              <w:rPr>
                <w:sz w:val="18"/>
              </w:rPr>
              <w:t>6.4</w:t>
            </w:r>
          </w:p>
        </w:tc>
        <w:tc>
          <w:tcPr>
            <w:tcW w:w="708" w:type="dxa"/>
            <w:tcBorders>
              <w:bottom w:val="single" w:sz="6" w:space="0" w:color="000000"/>
            </w:tcBorders>
          </w:tcPr>
          <w:p>
            <w:pPr>
              <w:pStyle w:val="Normal"/>
              <w:jc w:val="center"/>
              <w:rPr>
                <w:sz w:val="18"/>
              </w:rPr>
            </w:pPr>
            <w:r>
              <w:rPr>
                <w:sz w:val="18"/>
              </w:rPr>
              <w:t>1.25</w:t>
            </w:r>
          </w:p>
        </w:tc>
        <w:tc>
          <w:tcPr>
            <w:tcW w:w="709" w:type="dxa"/>
            <w:gridSpan w:val="2"/>
            <w:tcBorders>
              <w:bottom w:val="single" w:sz="6" w:space="0" w:color="000000"/>
            </w:tcBorders>
          </w:tcPr>
          <w:p>
            <w:pPr>
              <w:pStyle w:val="Normal"/>
              <w:jc w:val="center"/>
              <w:rPr>
                <w:sz w:val="18"/>
              </w:rPr>
            </w:pPr>
            <w:r>
              <w:rPr>
                <w:sz w:val="18"/>
              </w:rPr>
              <w:t>17.7</w:t>
            </w:r>
          </w:p>
        </w:tc>
        <w:tc>
          <w:tcPr>
            <w:tcW w:w="709" w:type="dxa"/>
            <w:gridSpan w:val="2"/>
            <w:tcBorders>
              <w:bottom w:val="single" w:sz="6" w:space="0" w:color="000000"/>
            </w:tcBorders>
          </w:tcPr>
          <w:p>
            <w:pPr>
              <w:pStyle w:val="Normal"/>
              <w:jc w:val="center"/>
              <w:rPr>
                <w:sz w:val="18"/>
              </w:rPr>
            </w:pPr>
            <w:r>
              <w:rPr>
                <w:sz w:val="18"/>
              </w:rPr>
              <w:t>16.1</w:t>
            </w:r>
          </w:p>
        </w:tc>
        <w:tc>
          <w:tcPr>
            <w:tcW w:w="850" w:type="dxa"/>
            <w:tcBorders>
              <w:bottom w:val="single" w:sz="6" w:space="0" w:color="000000"/>
            </w:tcBorders>
          </w:tcPr>
          <w:p>
            <w:pPr>
              <w:pStyle w:val="Normal"/>
              <w:jc w:val="center"/>
              <w:rPr>
                <w:sz w:val="18"/>
              </w:rPr>
            </w:pPr>
            <w:r>
              <w:rPr>
                <w:sz w:val="18"/>
              </w:rPr>
              <w:t>1.80</w:t>
            </w:r>
          </w:p>
        </w:tc>
        <w:tc>
          <w:tcPr>
            <w:tcW w:w="709" w:type="dxa"/>
            <w:tcBorders>
              <w:bottom w:val="single" w:sz="6" w:space="0" w:color="000000"/>
            </w:tcBorders>
          </w:tcPr>
          <w:p>
            <w:pPr>
              <w:pStyle w:val="Normal"/>
              <w:jc w:val="center"/>
              <w:rPr>
                <w:sz w:val="18"/>
              </w:rPr>
            </w:pPr>
            <w:r>
              <w:rPr>
                <w:sz w:val="18"/>
              </w:rPr>
              <w:t>0.95</w:t>
            </w:r>
          </w:p>
        </w:tc>
        <w:tc>
          <w:tcPr>
            <w:tcW w:w="709" w:type="dxa"/>
            <w:tcBorders>
              <w:bottom w:val="single" w:sz="6" w:space="0" w:color="000000"/>
            </w:tcBorders>
          </w:tcPr>
          <w:p>
            <w:pPr>
              <w:pStyle w:val="Normal"/>
              <w:jc w:val="center"/>
              <w:rPr>
                <w:sz w:val="18"/>
              </w:rPr>
            </w:pPr>
            <w:r>
              <w:rPr>
                <w:sz w:val="18"/>
              </w:rPr>
              <w:t>0.7</w:t>
            </w:r>
          </w:p>
        </w:tc>
        <w:tc>
          <w:tcPr>
            <w:tcW w:w="850" w:type="dxa"/>
            <w:tcBorders>
              <w:bottom w:val="single" w:sz="6" w:space="0" w:color="000000"/>
            </w:tcBorders>
          </w:tcPr>
          <w:p>
            <w:pPr>
              <w:pStyle w:val="Normal"/>
              <w:jc w:val="center"/>
              <w:rPr>
                <w:sz w:val="18"/>
              </w:rPr>
            </w:pPr>
            <w:r>
              <w:rPr>
                <w:sz w:val="18"/>
              </w:rPr>
              <w:t>11.9</w:t>
            </w:r>
          </w:p>
        </w:tc>
        <w:tc>
          <w:tcPr>
            <w:tcW w:w="851" w:type="dxa"/>
            <w:tcBorders>
              <w:bottom w:val="single" w:sz="6" w:space="0" w:color="000000"/>
              <w:end w:val="single" w:sz="12" w:space="0" w:color="000000"/>
            </w:tcBorders>
          </w:tcPr>
          <w:p>
            <w:pPr>
              <w:pStyle w:val="Normal"/>
              <w:jc w:val="center"/>
              <w:rPr>
                <w:sz w:val="18"/>
              </w:rPr>
            </w:pPr>
            <w:r>
              <w:rPr>
                <w:sz w:val="18"/>
              </w:rPr>
              <w:t>9.1</w:t>
            </w:r>
          </w:p>
        </w:tc>
      </w:tr>
      <w:tr>
        <w:trPr/>
        <w:tc>
          <w:tcPr>
            <w:tcW w:w="9454" w:type="dxa"/>
            <w:gridSpan w:val="15"/>
            <w:tcBorders>
              <w:top w:val="single" w:sz="6" w:space="0" w:color="000000"/>
              <w:start w:val="single" w:sz="12" w:space="0" w:color="000000"/>
              <w:bottom w:val="single" w:sz="12" w:space="0" w:color="000000"/>
              <w:end w:val="single" w:sz="12" w:space="0" w:color="000000"/>
            </w:tcBorders>
          </w:tcPr>
          <w:p>
            <w:pPr>
              <w:pStyle w:val="Normal"/>
              <w:rPr>
                <w:b/>
                <w:sz w:val="16"/>
              </w:rPr>
            </w:pPr>
            <w:r>
              <w:rPr>
                <w:b/>
                <w:sz w:val="16"/>
              </w:rPr>
              <w:t>Real Interest Rate = Nominal Interest Rate / Inflation</w:t>
            </w:r>
          </w:p>
        </w:tc>
      </w:tr>
    </w:tbl>
    <w:p>
      <w:pPr>
        <w:pStyle w:val="Normal"/>
        <w:rPr>
          <w:rFonts w:eastAsia="MS Mincho;ＭＳ 明朝"/>
          <w:lang w:val="en-US"/>
        </w:rPr>
      </w:pPr>
      <w:r>
        <w:rPr>
          <w:rFonts w:eastAsia="MS Mincho;ＭＳ 明朝"/>
          <w:lang w:val="en-US"/>
        </w:rPr>
      </w:r>
    </w:p>
    <w:sectPr>
      <w:headerReference w:type="default" r:id="rId7"/>
      <w:headerReference w:type="first" r:id="rId8"/>
      <w:footerReference w:type="default" r:id="rId9"/>
      <w:footerReference w:type="first" r:id="rId10"/>
      <w:type w:val="nextPage"/>
      <w:pgSz w:w="12240" w:h="15840"/>
      <w:pgMar w:left="1797" w:right="1797"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t>This report is based on data available until 04/11/00. BankBoston cannot be held responsible for whatever use is made of the same..</w:t>
    </w:r>
  </w:p>
  <w:p>
    <w:pPr>
      <w:pStyle w:val="Footer"/>
      <w:rPr>
        <w:i/>
        <w:i/>
        <w:sz w:val="16"/>
      </w:rPr>
    </w:pPr>
    <w:r>
      <w:rPr>
        <w:i/>
        <w:sz w:val="16"/>
      </w:rPr>
      <w:t>Macroanalysis: José Antonio Pena Garcia, Ricardo Cyrillo Amorim, Marcelo Petersen Cypriano, Fernando H. Barbosa</w:t>
    </w:r>
  </w:p>
  <w:p>
    <w:pPr>
      <w:pStyle w:val="Footer"/>
      <w:rPr>
        <w:i/>
        <w:i/>
        <w:sz w:val="16"/>
      </w:rPr>
    </w:pPr>
    <w:r>
      <w:rPr>
        <w:i/>
        <w:sz w:val="16"/>
      </w:rPr>
      <w:t>Consultant: Gilson Schwartz</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159510" cy="499745"/>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1"/>
                  <a:srcRect l="-20" t="-46" r="-20" b="-46"/>
                  <a:stretch>
                    <a:fillRect/>
                  </a:stretch>
                </pic:blipFill>
                <pic:spPr bwMode="auto">
                  <a:xfrm>
                    <a:off x="0" y="0"/>
                    <a:ext cx="1159510" cy="499745"/>
                  </a:xfrm>
                  <a:prstGeom prst="rect">
                    <a:avLst/>
                  </a:prstGeom>
                  <a:noFill/>
                </pic:spPr>
              </pic:pic>
            </a:graphicData>
          </a:graphic>
        </wp:inline>
      </w:drawing>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159510" cy="49974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rcRect l="-20" t="-46" r="-20" b="-46"/>
                  <a:stretch>
                    <a:fillRect/>
                  </a:stretch>
                </pic:blipFill>
                <pic:spPr bwMode="auto">
                  <a:xfrm>
                    <a:off x="0" y="0"/>
                    <a:ext cx="1159510" cy="499745"/>
                  </a:xfrm>
                  <a:prstGeom prst="rect">
                    <a:avLst/>
                  </a:prstGeom>
                  <a:noFill/>
                </pic:spPr>
              </pic:pic>
            </a:graphicData>
          </a:graphic>
        </wp:inline>
      </w:drawing>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Bookman Old Style" w:hAnsi="Bookman Old Style" w:cs="Bookman Old Style"/>
      <w:b/>
      <w:color w:val="FF0000"/>
    </w:rPr>
  </w:style>
  <w:style w:type="paragraph" w:styleId="Heading3">
    <w:name w:val="heading 3"/>
    <w:basedOn w:val="Normal"/>
    <w:next w:val="Normal"/>
    <w:qFormat/>
    <w:pPr>
      <w:keepNext w:val="true"/>
      <w:numPr>
        <w:ilvl w:val="2"/>
        <w:numId w:val="1"/>
      </w:numPr>
      <w:outlineLvl w:val="2"/>
    </w:pPr>
    <w:rPr>
      <w:b/>
      <w:sz w:val="14"/>
      <w:lang w:eastAsia="pt-BR"/>
    </w:rPr>
  </w:style>
  <w:style w:type="paragraph" w:styleId="Heading4">
    <w:name w:val="heading 4"/>
    <w:basedOn w:val="Normal"/>
    <w:next w:val="Normal"/>
    <w:qFormat/>
    <w:pPr>
      <w:keepNext w:val="true"/>
      <w:numPr>
        <w:ilvl w:val="3"/>
        <w:numId w:val="1"/>
      </w:numPr>
      <w:outlineLvl w:val="3"/>
    </w:pPr>
    <w:rPr>
      <w:b/>
      <w:sz w:val="18"/>
      <w:lang w:eastAsia="pt-BR"/>
    </w:rPr>
  </w:style>
  <w:style w:type="paragraph" w:styleId="Heading5">
    <w:name w:val="heading 5"/>
    <w:basedOn w:val="Normal"/>
    <w:next w:val="Normal"/>
    <w:qFormat/>
    <w:pPr>
      <w:keepNext w:val="true"/>
      <w:numPr>
        <w:ilvl w:val="4"/>
        <w:numId w:val="1"/>
      </w:numPr>
      <w:jc w:val="both"/>
      <w:outlineLvl w:val="4"/>
    </w:pPr>
    <w:rPr>
      <w:rFonts w:ascii="Bookman Old Style" w:hAnsi="Bookman Old Style" w:cs="Bookman Old Style"/>
      <w:b/>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Fontepargpadro">
    <w:name w:val="Fonte parág. padrão"/>
    <w:qFormat/>
    <w:rPr/>
  </w:style>
  <w:style w:type="character" w:styleId="PageNumber">
    <w:name w:val="page number"/>
    <w:basedOn w:val="Fontepargpadro"/>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419" w:leader="none"/>
        <w:tab w:val="right" w:pos="8838" w:leader="none"/>
      </w:tabs>
    </w:pPr>
    <w:rPr/>
  </w:style>
  <w:style w:type="paragraph" w:styleId="Corpodetexto2">
    <w:name w:val="Corpo de texto 2"/>
    <w:basedOn w:val="Normal"/>
    <w:qFormat/>
    <w:pPr/>
    <w:rPr>
      <w:color w:val="FF0000"/>
    </w:rPr>
  </w:style>
  <w:style w:type="paragraph" w:styleId="Header">
    <w:name w:val="header"/>
    <w:basedOn w:val="Normal"/>
    <w:pPr>
      <w:tabs>
        <w:tab w:val="clear" w:pos="720"/>
        <w:tab w:val="center" w:pos="4419" w:leader="none"/>
        <w:tab w:val="right" w:pos="8838" w:leader="none"/>
      </w:tabs>
    </w:pPr>
    <w:rPr/>
  </w:style>
  <w:style w:type="paragraph" w:styleId="Textosimples">
    <w:name w:val="Texto simples"/>
    <w:basedOn w:val="Normal"/>
    <w:qFormat/>
    <w:pPr>
      <w:overflowPunct w:val="false"/>
      <w:autoSpaceDE w:val="false"/>
      <w:textAlignment w:val="baseline"/>
    </w:pPr>
    <w:rPr>
      <w:rFonts w:ascii="Courier New" w:hAnsi="Courier New" w:cs="Courier New"/>
    </w:rPr>
  </w:style>
  <w:style w:type="paragraph" w:styleId="Corpodetexto3">
    <w:name w:val="Corpo de texto 3"/>
    <w:basedOn w:val="Normal"/>
    <w:qFormat/>
    <w:pPr>
      <w:jc w:val="both"/>
    </w:pPr>
    <w:rPr>
      <w:rFonts w:ascii="Bookman Old Style" w:hAnsi="Bookman Old Style" w:cs="Bookman Old Style"/>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wmf"/>
</Relationships>
</file>

<file path=word/_rels/header2.xml.rels><?xml version="1.0" encoding="UTF-8"?>
<Relationships xmlns="http://schemas.openxmlformats.org/package/2006/relationships"><Relationship Id="rId1" Type="http://schemas.openxmlformats.org/officeDocument/2006/relationships/image" Target="media/image4.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2000-04-14T15:32:00Z</dcterms:created>
  <dc:creator>Folha de S.Paulo</dc:creator>
  <dc:description/>
  <dc:language>en-CA</dc:language>
  <cp:lastModifiedBy>BANKBOSTON</cp:lastModifiedBy>
  <cp:lastPrinted>2000-04-14T15:17:00Z</cp:lastPrinted>
  <dcterms:modified xsi:type="dcterms:W3CDTF">2000-04-14T15:52:00Z</dcterms:modified>
  <cp:revision>6</cp:revision>
  <dc:subject/>
  <dc:title>Balança comercial: perspectivas do ajuste nas importações</dc:title>
</cp:coreProperties>
</file>