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0" w:color="FFFFFF"/>
          <w:left w:val="single" w:sz="6" w:space="0" w:color="FFFFFF"/>
          <w:bottom w:val="single" w:sz="6" w:space="0" w:color="FFFFFF"/>
          <w:right w:val="single" w:sz="6" w:space="0" w:color="FFFFFF"/>
        </w:pBdr>
        <w:bidi w:val="0"/>
        <w:jc w:val="start"/>
        <w:rPr/>
        <w:framePr w:w="4649" w:h="576" w:x="491" w:y="391" w:hSpace="240" w:vSpace="240" w:wrap="notBeside" w:vAnchor="text" w:hAnchor="page" w:hRule="exact"/>
      </w:pPr>
      <w:r>
        <w:rPr/>
        <w:drawing>
          <wp:inline distT="0" distB="0" distL="0" distR="0">
            <wp:extent cx="212776435" cy="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9816" t="98976" r="99816" b="98976"/>
                    <a:stretch>
                      <a:fillRect/>
                    </a:stretch>
                  </pic:blipFill>
                  <pic:spPr bwMode="auto">
                    <a:xfrm>
                      <a:off x="0" y="0"/>
                      <a:ext cx="212776435" cy="-496047395"/>
                    </a:xfrm>
                    <a:prstGeom prst="rect">
                      <a:avLst/>
                    </a:prstGeom>
                    <a:noFill/>
                  </pic:spPr>
                </pic:pic>
              </a:graphicData>
            </a:graphic>
          </wp:inline>
        </w:drawing>
      </w:r>
    </w:p>
    <w:p>
      <w:pPr>
        <w:pStyle w:val="Caption"/>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pPr>
      <w:r>
        <w:rPr/>
        <w:t>Memorandum</w:t>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pPr>
      <w:r>
        <w:rPr/>
      </w:r>
    </w:p>
    <w:tbl>
      <w:tblPr>
        <w:tblW w:w="10980" w:type="dxa"/>
        <w:jc w:val="start"/>
        <w:tblInd w:w="-166" w:type="dxa"/>
        <w:tblLayout w:type="fixed"/>
        <w:tblCellMar>
          <w:top w:w="0" w:type="dxa"/>
          <w:start w:w="7" w:type="dxa"/>
          <w:bottom w:w="0" w:type="dxa"/>
          <w:end w:w="7" w:type="dxa"/>
        </w:tblCellMar>
      </w:tblPr>
      <w:tblGrid>
        <w:gridCol w:w="900"/>
        <w:gridCol w:w="10079"/>
      </w:tblGrid>
      <w:tr>
        <w:trPr>
          <w:trHeight w:val="439" w:hRule="exact"/>
        </w:trPr>
        <w:tc>
          <w:tcPr>
            <w:tcW w:w="900" w:type="dxa"/>
            <w:tcBorders>
              <w:top w:val="single" w:sz="6" w:space="0" w:color="FFFFFF"/>
              <w:start w:val="single" w:sz="6" w:space="0" w:color="FFFFFF"/>
              <w:bottom w:val="single" w:sz="6" w:space="0" w:color="FFFFFF"/>
              <w:end w:val="single" w:sz="6" w:space="0" w:color="FFFFFF"/>
            </w:tcBorders>
            <w:vAlign w:val="center"/>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r>
              <w:rPr>
                <w:rFonts w:ascii="Arial" w:hAnsi="Arial"/>
              </w:rPr>
              <w:t>To:</w:t>
            </w:r>
          </w:p>
        </w:tc>
        <w:tc>
          <w:tcPr>
            <w:tcW w:w="10079" w:type="dxa"/>
            <w:tcBorders>
              <w:top w:val="single" w:sz="6" w:space="0" w:color="FFFFFF"/>
              <w:start w:val="single" w:sz="6" w:space="0" w:color="FFFFFF"/>
              <w:bottom w:val="single" w:sz="6" w:space="0" w:color="000000"/>
              <w:end w:val="single" w:sz="6" w:space="0" w:color="FFFFFF"/>
            </w:tcBorders>
            <w:vAlign w:val="center"/>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bookmarkStart w:id="0" w:name="To"/>
            <w:bookmarkEnd w:id="0"/>
            <w:r>
              <w:rPr>
                <w:rFonts w:ascii="Arial" w:hAnsi="Arial"/>
              </w:rPr>
              <w:t>Standard Contract Working Group</w:t>
            </w:r>
          </w:p>
        </w:tc>
      </w:tr>
    </w:tbl>
    <w:p>
      <w:pPr>
        <w:pStyle w:val="Normal"/>
        <w:bidi w:val="0"/>
        <w:jc w:val="start"/>
        <w:rPr>
          <w:rFonts w:ascii="Arial" w:hAnsi="Arial"/>
          <w:vanish/>
        </w:rPr>
      </w:pPr>
      <w:r>
        <w:rPr>
          <w:rFonts w:ascii="Arial" w:hAnsi="Arial"/>
          <w:vanish/>
        </w:rPr>
      </w:r>
    </w:p>
    <w:tbl>
      <w:tblPr>
        <w:tblW w:w="10980" w:type="dxa"/>
        <w:jc w:val="start"/>
        <w:tblInd w:w="-166" w:type="dxa"/>
        <w:tblLayout w:type="fixed"/>
        <w:tblCellMar>
          <w:top w:w="0" w:type="dxa"/>
          <w:start w:w="7" w:type="dxa"/>
          <w:bottom w:w="0" w:type="dxa"/>
          <w:end w:w="7" w:type="dxa"/>
        </w:tblCellMar>
      </w:tblPr>
      <w:tblGrid>
        <w:gridCol w:w="900"/>
        <w:gridCol w:w="5670"/>
        <w:gridCol w:w="809"/>
        <w:gridCol w:w="3600"/>
      </w:tblGrid>
      <w:tr>
        <w:trPr>
          <w:trHeight w:val="439" w:hRule="exact"/>
        </w:trPr>
        <w:tc>
          <w:tcPr>
            <w:tcW w:w="900" w:type="dxa"/>
            <w:tcBorders>
              <w:top w:val="single" w:sz="6" w:space="0" w:color="FFFFFF"/>
              <w:start w:val="single" w:sz="6" w:space="0" w:color="FFFFFF"/>
              <w:bottom w:val="single" w:sz="6" w:space="0" w:color="FFFFFF"/>
              <w:end w:val="single" w:sz="6" w:space="0" w:color="FFFFFF"/>
            </w:tcBorders>
            <w:vAlign w:val="center"/>
          </w:tcPr>
          <w:p>
            <w:pPr>
              <w:pStyle w:val="Normal"/>
              <w:tabs>
                <w:tab w:val="clear" w:pos="720"/>
              </w:tabs>
              <w:bidi w:val="0"/>
              <w:spacing w:lineRule="exact" w:line="9"/>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r>
              <w:rPr>
                <w:rFonts w:ascii="Arial" w:hAnsi="Arial"/>
              </w:rPr>
              <w:t>From:</w:t>
            </w:r>
          </w:p>
        </w:tc>
        <w:tc>
          <w:tcPr>
            <w:tcW w:w="5670" w:type="dxa"/>
            <w:tcBorders>
              <w:top w:val="single" w:sz="6" w:space="0" w:color="FFFFFF"/>
              <w:start w:val="single" w:sz="6" w:space="0" w:color="FFFFFF"/>
              <w:bottom w:val="single" w:sz="6" w:space="0" w:color="000000"/>
              <w:end w:val="single" w:sz="6" w:space="0" w:color="FFFFFF"/>
            </w:tcBorders>
            <w:vAlign w:val="center"/>
          </w:tcPr>
          <w:p>
            <w:pPr>
              <w:pStyle w:val="Normal"/>
              <w:tabs>
                <w:tab w:val="clear" w:pos="720"/>
              </w:tabs>
              <w:bidi w:val="0"/>
              <w:spacing w:lineRule="exact" w:line="9"/>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bookmarkStart w:id="1" w:name="From"/>
            <w:bookmarkEnd w:id="1"/>
            <w:r>
              <w:rPr>
                <w:rFonts w:ascii="Arial" w:hAnsi="Arial"/>
              </w:rPr>
              <w:t>Drafting Committee</w:t>
            </w:r>
          </w:p>
        </w:tc>
        <w:tc>
          <w:tcPr>
            <w:tcW w:w="809" w:type="dxa"/>
            <w:tcBorders>
              <w:top w:val="single" w:sz="6" w:space="0" w:color="FFFFFF"/>
              <w:start w:val="single" w:sz="6" w:space="0" w:color="FFFFFF"/>
              <w:bottom w:val="single" w:sz="6" w:space="0" w:color="FFFFFF"/>
              <w:end w:val="single" w:sz="6" w:space="0" w:color="FFFFFF"/>
            </w:tcBorders>
            <w:vAlign w:val="center"/>
          </w:tcPr>
          <w:p>
            <w:pPr>
              <w:pStyle w:val="Normal"/>
              <w:tabs>
                <w:tab w:val="clear" w:pos="720"/>
              </w:tabs>
              <w:bidi w:val="0"/>
              <w:spacing w:lineRule="exact" w:line="9"/>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r>
              <w:rPr>
                <w:rFonts w:ascii="Arial" w:hAnsi="Arial"/>
              </w:rPr>
              <w:t>Date:</w:t>
            </w:r>
          </w:p>
        </w:tc>
        <w:tc>
          <w:tcPr>
            <w:tcW w:w="3600" w:type="dxa"/>
            <w:tcBorders>
              <w:top w:val="single" w:sz="6" w:space="0" w:color="000000"/>
              <w:start w:val="single" w:sz="6" w:space="0" w:color="FFFFFF"/>
              <w:bottom w:val="single" w:sz="6" w:space="0" w:color="000000"/>
              <w:end w:val="single" w:sz="6" w:space="0" w:color="FFFFFF"/>
            </w:tcBorders>
            <w:vAlign w:val="center"/>
          </w:tcPr>
          <w:p>
            <w:pPr>
              <w:pStyle w:val="Normal"/>
              <w:tabs>
                <w:tab w:val="clear" w:pos="720"/>
              </w:tabs>
              <w:bidi w:val="0"/>
              <w:spacing w:lineRule="exact" w:line="9"/>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bookmarkStart w:id="2" w:name="Date"/>
            <w:bookmarkEnd w:id="2"/>
            <w:r>
              <w:rPr>
                <w:rFonts w:ascii="Arial" w:hAnsi="Arial"/>
              </w:rPr>
              <w:t>September 10, 1999</w:t>
            </w:r>
          </w:p>
        </w:tc>
      </w:tr>
    </w:tbl>
    <w:p>
      <w:pPr>
        <w:pStyle w:val="Normal"/>
        <w:bidi w:val="0"/>
        <w:jc w:val="start"/>
        <w:rPr>
          <w:rFonts w:ascii="Arial" w:hAnsi="Arial"/>
          <w:vanish/>
        </w:rPr>
      </w:pPr>
      <w:r>
        <w:rPr>
          <w:rFonts w:ascii="Arial" w:hAnsi="Arial"/>
          <w:vanish/>
        </w:rPr>
      </w:r>
    </w:p>
    <w:tbl>
      <w:tblPr>
        <w:tblW w:w="10980" w:type="dxa"/>
        <w:jc w:val="start"/>
        <w:tblInd w:w="-166" w:type="dxa"/>
        <w:tblLayout w:type="fixed"/>
        <w:tblCellMar>
          <w:top w:w="0" w:type="dxa"/>
          <w:start w:w="7" w:type="dxa"/>
          <w:bottom w:w="0" w:type="dxa"/>
          <w:end w:w="7" w:type="dxa"/>
        </w:tblCellMar>
      </w:tblPr>
      <w:tblGrid>
        <w:gridCol w:w="900"/>
        <w:gridCol w:w="10079"/>
      </w:tblGrid>
      <w:tr>
        <w:trPr>
          <w:trHeight w:val="439" w:hRule="exact"/>
        </w:trPr>
        <w:tc>
          <w:tcPr>
            <w:tcW w:w="900" w:type="dxa"/>
            <w:tcBorders>
              <w:top w:val="single" w:sz="6" w:space="0" w:color="FFFFFF"/>
              <w:start w:val="single" w:sz="6" w:space="0" w:color="FFFFFF"/>
              <w:bottom w:val="single" w:sz="6" w:space="0" w:color="FFFFFF"/>
              <w:end w:val="single" w:sz="6" w:space="0" w:color="FFFFFF"/>
            </w:tcBorders>
            <w:vAlign w:val="center"/>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r>
              <w:rPr>
                <w:rFonts w:ascii="Arial" w:hAnsi="Arial"/>
              </w:rPr>
              <w:t>Subject:</w:t>
            </w:r>
          </w:p>
        </w:tc>
        <w:tc>
          <w:tcPr>
            <w:tcW w:w="10079" w:type="dxa"/>
            <w:tcBorders>
              <w:top w:val="single" w:sz="6" w:space="0" w:color="FFFFFF"/>
              <w:start w:val="single" w:sz="6" w:space="0" w:color="FFFFFF"/>
              <w:bottom w:val="single" w:sz="6" w:space="0" w:color="000000"/>
              <w:end w:val="single" w:sz="6" w:space="0" w:color="FFFFFF"/>
            </w:tcBorders>
            <w:vAlign w:val="center"/>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9"/>
              <w:jc w:val="start"/>
              <w:rPr/>
            </w:pPr>
            <w:bookmarkStart w:id="3" w:name="Subject"/>
            <w:bookmarkEnd w:id="3"/>
            <w:r>
              <w:rPr>
                <w:rFonts w:ascii="Arial" w:hAnsi="Arial"/>
              </w:rPr>
              <w:t>Proposed Master Agreement and Model Tariff</w:t>
            </w:r>
          </w:p>
        </w:tc>
      </w:tr>
    </w:tbl>
    <w:p>
      <w:pPr>
        <w:pStyle w:val="Normal"/>
        <w:bidi w:val="0"/>
        <w:jc w:val="start"/>
        <w:rPr>
          <w:rFonts w:ascii="Arial" w:hAnsi="Arial"/>
          <w:vanish/>
        </w:rPr>
      </w:pPr>
      <w:r>
        <w:rPr>
          <w:rFonts w:ascii="Arial" w:hAnsi="Arial"/>
          <w:vanish/>
        </w:rPr>
      </w:r>
    </w:p>
    <w:tbl>
      <w:tblPr>
        <w:tblW w:w="10978" w:type="dxa"/>
        <w:jc w:val="start"/>
        <w:tblInd w:w="-166" w:type="dxa"/>
        <w:tblLayout w:type="fixed"/>
        <w:tblCellMar>
          <w:top w:w="0" w:type="dxa"/>
          <w:start w:w="7" w:type="dxa"/>
          <w:bottom w:w="0" w:type="dxa"/>
          <w:end w:w="0" w:type="dxa"/>
        </w:tblCellMar>
      </w:tblPr>
      <w:tblGrid>
        <w:gridCol w:w="10977"/>
      </w:tblGrid>
      <w:tr>
        <w:trPr>
          <w:trHeight w:val="439" w:hRule="exact"/>
          <w:cantSplit w:val="true"/>
        </w:trPr>
        <w:tc>
          <w:tcPr>
            <w:tcW w:w="10977" w:type="dxa"/>
            <w:tcBorders>
              <w:top w:val="single" w:sz="6" w:space="0" w:color="FFFFFF"/>
              <w:start w:val="single" w:sz="6" w:space="0" w:color="FFFFFF"/>
              <w:bottom w:val="single" w:sz="6" w:space="0" w:color="FFFFFF"/>
              <w:end w:val="single" w:sz="6" w:space="0" w:color="FFFFFF"/>
            </w:tcBorders>
          </w:tcPr>
          <w:p>
            <w:pPr>
              <w:pStyle w:val="Normal"/>
              <w:widowControl/>
              <w:pBdr>
                <w:top w:val="single" w:sz="6" w:space="0" w:color="FFFFFF"/>
                <w:left w:val="single" w:sz="6" w:space="0" w:color="FFFFFF"/>
                <w:bottom w:val="single" w:sz="6" w:space="0" w:color="FFFFFF"/>
                <w:right w:val="single" w:sz="6" w:space="0" w:color="FFFFFF"/>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rFonts w:ascii="Arial" w:hAnsi="Arial"/>
                <w:b/>
              </w:rPr>
            </w:pPr>
            <w:r>
              <w:rPr>
                <w:rFonts w:ascii="Arial" w:hAnsi="Arial"/>
                <w:b/>
              </w:rPr>
            </w:r>
          </w:p>
        </w:tc>
      </w:tr>
    </w:tbl>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pPr>
      <w:r>
        <w:rPr/>
      </w:r>
      <w:bookmarkStart w:id="4" w:name="End"/>
      <w:bookmarkStart w:id="5" w:name="End"/>
      <w:bookmarkEnd w:id="5"/>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pPr>
      <w:r>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t xml:space="preserve">Please find attached the draft Master Power Purchase and Sale Agreement and Model Tariff proposed for consideration by the Working Group at the September 24 meeting.    The Drafting Committee met in Baltimore on July 28 and 29 to </w:t>
      </w:r>
      <w:r>
        <w:rPr>
          <w:rFonts w:ascii="WP TypographicSymbols" w:hAnsi="WP TypographicSymbols"/>
        </w:rPr>
        <w:t></w:t>
      </w:r>
      <w:r>
        <w:rPr>
          <w:rFonts w:ascii="Arial" w:hAnsi="Arial"/>
        </w:rPr>
        <w:t>fine tune</w:t>
      </w:r>
      <w:r>
        <w:rPr>
          <w:rFonts w:ascii="WP TypographicSymbols" w:hAnsi="WP TypographicSymbols"/>
        </w:rPr>
        <w:t></w:t>
      </w:r>
      <w:r>
        <w:rPr>
          <w:rFonts w:ascii="Arial" w:hAnsi="Arial"/>
        </w:rPr>
        <w:t xml:space="preserve"> and complete the Master Agreement.    Two conference calls preceded and three conference calls followed these meetings.    The Committee has developed and will present to the Working Group a procedure for companies to integrate the Master Agreement with a short-form market-based FERC tariff.    The attached Model Tariff is intended to govern all transactions executed under the Master Agreement.    Except for the bolded and bracketed text, the Master Agreement    reflects numerous compromises among the members of the Drafting Committee and each member of the Drafting Committee agrees that the documents, while not </w:t>
      </w:r>
      <w:r>
        <w:rPr>
          <w:rFonts w:ascii="WP TypographicSymbols" w:hAnsi="WP TypographicSymbols"/>
        </w:rPr>
        <w:t></w:t>
      </w:r>
      <w:r>
        <w:rPr>
          <w:rFonts w:ascii="Arial" w:hAnsi="Arial"/>
        </w:rPr>
        <w:t>perfect</w:t>
      </w:r>
      <w:r>
        <w:rPr>
          <w:rFonts w:ascii="WP TypographicSymbols" w:hAnsi="WP TypographicSymbols"/>
        </w:rPr>
        <w:t></w:t>
      </w:r>
      <w:r>
        <w:rPr>
          <w:rFonts w:ascii="Arial" w:hAnsi="Arial"/>
        </w:rPr>
        <w:t xml:space="preserve"> in anyone</w:t>
      </w:r>
      <w:r>
        <w:rPr>
          <w:rFonts w:ascii="WP TypographicSymbols" w:hAnsi="WP TypographicSymbols"/>
        </w:rPr>
        <w:t></w:t>
      </w:r>
      <w:r>
        <w:rPr>
          <w:rFonts w:ascii="Arial" w:hAnsi="Arial"/>
        </w:rPr>
        <w:t xml:space="preserve">s view, are workable. The bolded and bracketed text reflects areas where the Drafting Committee could not agree. A definition of the </w:t>
      </w:r>
      <w:r>
        <w:rPr>
          <w:rFonts w:ascii="WP TypographicSymbols" w:hAnsi="WP TypographicSymbols"/>
        </w:rPr>
        <w:t></w:t>
      </w:r>
      <w:r>
        <w:rPr>
          <w:rFonts w:ascii="Arial" w:hAnsi="Arial"/>
        </w:rPr>
        <w:t>Into</w:t>
      </w:r>
      <w:r>
        <w:rPr>
          <w:rFonts w:ascii="WP TypographicSymbols" w:hAnsi="WP TypographicSymbols"/>
        </w:rPr>
        <w:t></w:t>
      </w:r>
      <w:r>
        <w:rPr>
          <w:rFonts w:ascii="Arial" w:hAnsi="Arial"/>
        </w:rPr>
        <w:t xml:space="preserve"> product is still being developed and will be distributed at the meeting.</w:t>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t>Our goal for the September 24 meeting is to reach closure on the Master Agreement and Model Tariff so that the lawyers can then get their companies</w:t>
      </w:r>
      <w:r>
        <w:rPr>
          <w:rFonts w:ascii="WP TypographicSymbols" w:hAnsi="WP TypographicSymbols"/>
        </w:rPr>
        <w:t></w:t>
      </w:r>
      <w:r>
        <w:rPr>
          <w:rFonts w:ascii="Arial" w:hAnsi="Arial"/>
        </w:rPr>
        <w:t xml:space="preserve"> management and traders    to endorse the document.    The Drafting Committee will explain the changes made to the last draft the Working Group reviewed.    In addition, we hope to reach a consensus within the Working Group on the provisions that are not fully agreed to by the Drafting Committee.    Since the Drafting Committee represents a broad cross-section of the industry, it is our belief that the provisions endorsed by the Committee should be acceptable to the entire Working Group.    We urge anyone who has concerns about any provisions in the draft, to notify Patty Dondanville and David Perlman </w:t>
      </w:r>
      <w:r>
        <w:rPr>
          <w:rFonts w:ascii="Arial" w:hAnsi="Arial"/>
          <w:b/>
        </w:rPr>
        <w:t>before</w:t>
      </w:r>
      <w:r>
        <w:rPr>
          <w:rFonts w:ascii="Arial" w:hAnsi="Arial"/>
        </w:rPr>
        <w:t xml:space="preserve"> the September 24 so that we can organize the discussion.    If consensus cannot be reached at the September 24 meeting, we will then decide on further procedures to reach closure on the Master Agreement.      We also will explain how the Master Agreement and Model Tariff are intended to work together and will suggest FERC filing procedures.          </w:t>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rPr>
      </w:pPr>
      <w:r>
        <w:rPr>
          <w:rFonts w:ascii="Arial" w:hAnsi="Arial"/>
        </w:rPr>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sz w:val="16"/>
        </w:rPr>
      </w:pPr>
      <w:r>
        <w:rPr>
          <w:rFonts w:ascii="Arial" w:hAnsi="Arial"/>
          <w:sz w:val="16"/>
        </w:rPr>
        <w:fldChar w:fldCharType="begin"/>
      </w:r>
      <w:r>
        <w:rPr>
          <w:sz w:val="16"/>
          <w:rFonts w:ascii="Arial" w:hAnsi="Arial"/>
        </w:rPr>
        <w:instrText xml:space="preserve"> FILENAME </w:instrText>
      </w:r>
      <w:r>
        <w:rPr>
          <w:sz w:val="16"/>
          <w:rFonts w:ascii="Arial" w:hAnsi="Arial"/>
        </w:rPr>
        <w:fldChar w:fldCharType="separate"/>
      </w:r>
      <w:r>
        <w:rPr>
          <w:sz w:val="16"/>
          <w:rFonts w:ascii="Arial" w:hAnsi="Arial"/>
        </w:rPr>
        <w:t>clean_memo.rtf</w:t>
      </w:r>
      <w:r>
        <w:rPr>
          <w:sz w:val="16"/>
          <w:rFonts w:ascii="Arial" w:hAnsi="Arial"/>
        </w:rPr>
        <w:fldChar w:fldCharType="end"/>
      </w:r>
    </w:p>
    <w:p>
      <w:pPr>
        <w:pStyle w:val="Normal"/>
        <w:widowControl/>
        <w:pBdr>
          <w:top w:val="single" w:sz="6" w:space="0" w:color="FFFFFF"/>
          <w:left w:val="single" w:sz="6" w:space="0" w:color="FFFFFF"/>
          <w:bottom w:val="single" w:sz="6" w:space="0" w:color="FFFFFF"/>
          <w:right w:val="single" w:sz="6" w:space="0" w:color="FFFFFF"/>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end="720"/>
        <w:jc w:val="start"/>
        <w:rPr>
          <w:rFonts w:ascii="Arial" w:hAnsi="Arial"/>
          <w:sz w:val="16"/>
        </w:rPr>
      </w:pPr>
      <w:r>
        <w:rPr>
          <w:rFonts w:ascii="Arial" w:hAnsi="Arial"/>
          <w:sz w:val="16"/>
        </w:rPr>
      </w:r>
    </w:p>
    <w:sectPr>
      <w:type w:val="nextPage"/>
      <w:pgSz w:w="12240" w:h="15840"/>
      <w:pgMar w:left="720"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WP TypographicSymbols">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WP TypographicSymbols" w:cs="NotoSans NF"/>
      <w:color w:val="auto"/>
      <w:kern w:val="2"/>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jc w:val="end"/>
    </w:pPr>
    <w:rPr>
      <w:rFonts w:ascii="Arial" w:hAnsi="Arial"/>
      <w:b/>
      <w:sz w:val="80"/>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345</Words>
  <Characters>2420</Characters>
  <CharactersWithSpaces>1971</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1999-09-13T16:17:00Z</dcterms:created>
  <dc:creator>Andrew S. Katz</dc:creator>
  <dc:description/>
  <dc:language>en-US</dc:language>
  <cp:lastModifiedBy/>
  <dcterms:modified xsi:type="dcterms:W3CDTF">1999-09-13T16:17:00Z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