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sz w:val="32"/>
        </w:rPr>
      </w:pPr>
      <w:r>
        <w:rPr>
          <w:b/>
          <w:sz w:val="32"/>
        </w:rPr>
        <w:t xml:space="preserve">City of Redding, California </w:t>
      </w:r>
    </w:p>
    <w:p>
      <w:pPr>
        <w:pStyle w:val="Normal"/>
        <w:jc w:val="center"/>
        <w:rPr>
          <w:b/>
          <w:sz w:val="32"/>
        </w:rPr>
      </w:pPr>
      <w:r>
        <w:rPr>
          <w:b/>
          <w:sz w:val="32"/>
        </w:rPr>
      </w:r>
    </w:p>
    <w:p>
      <w:pPr>
        <w:pStyle w:val="Normal"/>
        <w:jc w:val="center"/>
        <w:rPr>
          <w:b/>
        </w:rPr>
      </w:pPr>
      <w:r>
        <w:rPr>
          <w:b/>
        </w:rPr>
        <w:t xml:space="preserve">SUMMARY OF CERTAIN TERMS AND CONDITIONS </w:t>
      </w:r>
    </w:p>
    <w:p>
      <w:pPr>
        <w:pStyle w:val="Normal"/>
        <w:jc w:val="center"/>
        <w:rPr>
          <w:b/>
        </w:rPr>
      </w:pPr>
      <w:r>
        <w:rPr>
          <w:b/>
        </w:rPr>
      </w:r>
    </w:p>
    <w:p>
      <w:pPr>
        <w:pStyle w:val="BodyText3"/>
        <w:rPr/>
      </w:pPr>
      <w:r>
        <w:rPr/>
        <w:t xml:space="preserve">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w:t>
      </w:r>
    </w:p>
    <w:p>
      <w:pPr>
        <w:pStyle w:val="BodyText3"/>
        <w:rPr>
          <w:b w:val="false"/>
          <w:caps w:val="false"/>
          <w:smallCaps w:val="false"/>
        </w:rPr>
      </w:pPr>
      <w:r>
        <w:rPr>
          <w:b w:val="false"/>
          <w:caps w:val="false"/>
          <w:smallCaps w:val="false"/>
        </w:rPr>
      </w:r>
    </w:p>
    <w:p>
      <w:pPr>
        <w:pStyle w:val="Heading2"/>
        <w:ind w:hanging="0" w:start="0"/>
        <w:rPr>
          <w:u w:val="single"/>
        </w:rPr>
      </w:pPr>
      <w:r>
        <w:rPr>
          <w:u w:val="single"/>
        </w:rPr>
        <w:t>Overview</w:t>
      </w:r>
    </w:p>
    <w:p>
      <w:pPr>
        <w:pStyle w:val="Normal"/>
        <w:rPr>
          <w:sz w:val="22"/>
          <w:u w:val="single"/>
        </w:rPr>
      </w:pPr>
      <w:r>
        <w:rPr>
          <w:sz w:val="22"/>
          <w:u w:val="single"/>
        </w:rPr>
      </w:r>
    </w:p>
    <w:p>
      <w:pPr>
        <w:pStyle w:val="Normal"/>
        <w:jc w:val="both"/>
        <w:rPr>
          <w:sz w:val="22"/>
        </w:rPr>
      </w:pPr>
      <w:r>
        <w:rPr>
          <w:sz w:val="22"/>
        </w:rPr>
        <w:t xml:space="preserve">Enron North America Corp. (“ENA”) and or Enron Canada Corp (“ECC”) or their designee shall provide to City of REDDING, California (“REDDING”) long term capacity on Nova, ANG and Pacific Gas Transmission Company – (“PGT”) subject to the Volumes, terms and conditions set forth herein. This capacity will be assigned to REDDING on a permanent basis.  </w:t>
      </w:r>
    </w:p>
    <w:p>
      <w:pPr>
        <w:pStyle w:val="Normal"/>
        <w:rPr>
          <w:b/>
          <w:smallCaps/>
          <w:sz w:val="22"/>
        </w:rPr>
      </w:pPr>
      <w:r>
        <w:rPr>
          <w:b/>
          <w:smallCaps/>
          <w:sz w:val="22"/>
        </w:rPr>
      </w:r>
    </w:p>
    <w:p>
      <w:pPr>
        <w:pStyle w:val="Normal"/>
        <w:rPr>
          <w:b/>
          <w:smallCaps/>
        </w:rPr>
      </w:pPr>
      <w:r>
        <w:rPr>
          <w:b/>
          <w:smallCaps/>
        </w:rPr>
      </w:r>
    </w:p>
    <w:p>
      <w:pPr>
        <w:pStyle w:val="Heading1"/>
        <w:ind w:hanging="0" w:start="0"/>
        <w:rPr>
          <w:u w:val="single"/>
        </w:rPr>
      </w:pPr>
      <w:r>
        <w:rPr>
          <w:u w:val="single"/>
        </w:rPr>
        <w:t xml:space="preserve">Part 1.Capacity -  Nova, ANG and PGT Capacity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u w:val="single"/>
        </w:rPr>
        <w:t>Period of Assignment:</w:t>
      </w:r>
      <w:r>
        <w:rPr>
          <w:b/>
        </w:rPr>
        <w:t xml:space="preserve"> </w:t>
        <w:tab/>
      </w:r>
      <w:r>
        <w:rPr/>
        <w:t>November 1, 2002 – October 31, 2023</w:t>
      </w:r>
    </w:p>
    <w:p>
      <w:pPr>
        <w:pStyle w:val="Normal"/>
        <w:ind w:hanging="2880" w:start="2880" w:end="0"/>
        <w:rPr>
          <w:b/>
          <w:u w:val="single"/>
        </w:rPr>
      </w:pPr>
      <w:r>
        <w:rPr>
          <w:b/>
          <w:u w:val="single"/>
        </w:rPr>
      </w:r>
    </w:p>
    <w:p>
      <w:pPr>
        <w:pStyle w:val="Normal"/>
        <w:ind w:hanging="2880" w:start="2880" w:end="0"/>
        <w:rPr/>
      </w:pPr>
      <w:r>
        <w:rPr>
          <w:b/>
          <w:u w:val="single"/>
        </w:rPr>
        <w:t>(PGT)</w:t>
      </w:r>
      <w:r>
        <w:rPr/>
        <w:tab/>
      </w:r>
      <w:r>
        <w:rPr>
          <w:sz w:val="22"/>
        </w:rPr>
        <w:t xml:space="preserve">Pacific Gas Transmission Company – Northwest (“PGT”) interstate pipeline at 100% of PGT’s FERC approved transportation rates pursuant to Rate Schedule FTS-1, plus the applicable MRRS surcharge. </w:t>
      </w:r>
    </w:p>
    <w:p>
      <w:pPr>
        <w:pStyle w:val="Normal"/>
        <w:rPr>
          <w:sz w:val="22"/>
        </w:rPr>
      </w:pPr>
      <w:r>
        <w:rPr>
          <w:sz w:val="22"/>
        </w:rPr>
      </w:r>
    </w:p>
    <w:p>
      <w:pPr>
        <w:pStyle w:val="Normal"/>
        <w:tabs>
          <w:tab w:val="clear" w:pos="720"/>
          <w:tab w:val="left" w:pos="2880" w:leader="none"/>
        </w:tabs>
        <w:rPr/>
      </w:pPr>
      <w:r>
        <w:rPr>
          <w:b/>
          <w:u w:val="single"/>
        </w:rPr>
        <w:t xml:space="preserve"> </w:t>
      </w:r>
      <w:r>
        <w:rPr>
          <w:b/>
          <w:u w:val="single"/>
        </w:rPr>
        <w:t>Period of Assignment:</w:t>
      </w:r>
      <w:r>
        <w:rPr/>
        <w:t xml:space="preserve"> </w:t>
        <w:tab/>
        <w:t xml:space="preserve">November 1, 2002 – October 31, 2008 </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(Nova/ANG)</w:t>
      </w:r>
      <w:r>
        <w:rPr>
          <w:b/>
        </w:rPr>
        <w:tab/>
      </w:r>
      <w:r>
        <w:rPr/>
        <w:t xml:space="preserve">Nova Gas Transmission service shall be the Firm Service Delivery to allow for the DCQ to the Alberta/B.C. border at the interconnect with Alberta Natural Gas Company (“ANG”).  ANG capacity shall be the applicable firm space to deliver the DCQ to border at Kingsgate. </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 xml:space="preserve">The capacity will be assigned on a permanent basis at 100% of full tolls and REDDING shall assume all obligations on these volumes once assignment documents have been approved and executed.   </w:t>
      </w:r>
    </w:p>
    <w:p>
      <w:pPr>
        <w:pStyle w:val="Header"/>
        <w:tabs>
          <w:tab w:val="clear" w:pos="4680"/>
          <w:tab w:val="clear" w:pos="9360"/>
          <w:tab w:val="left" w:pos="2880" w:leader="none"/>
        </w:tabs>
        <w:rPr/>
      </w:pPr>
      <w:r>
        <w:rPr/>
      </w:r>
    </w:p>
    <w:p>
      <w:pPr>
        <w:pStyle w:val="BodyTextIndent"/>
        <w:rPr/>
      </w:pPr>
      <w:r>
        <w:rPr>
          <w:b/>
          <w:u w:val="single"/>
        </w:rPr>
        <w:t>DCQ:</w:t>
      </w:r>
      <w:r>
        <w:rPr/>
        <w:tab/>
        <w:t>10,000 MMBtu/day</w:t>
      </w:r>
    </w:p>
    <w:p>
      <w:pPr>
        <w:pStyle w:val="BodyTextIndent"/>
        <w:rPr>
          <w:b/>
        </w:rPr>
      </w:pPr>
      <w:r>
        <w:rPr>
          <w:b/>
        </w:rPr>
        <w:tab/>
      </w:r>
    </w:p>
    <w:p>
      <w:pPr>
        <w:pStyle w:val="BodyTextIndent"/>
        <w:rPr/>
      </w:pPr>
      <w:r>
        <w:rPr/>
        <w:tab/>
      </w:r>
    </w:p>
    <w:p>
      <w:pPr>
        <w:pStyle w:val="BodyTextIndent"/>
        <w:rPr/>
      </w:pPr>
      <w:r>
        <w:rPr/>
        <w:tab/>
      </w:r>
    </w:p>
    <w:p>
      <w:pPr>
        <w:pStyle w:val="Normal"/>
        <w:tabs>
          <w:tab w:val="clear" w:pos="720"/>
          <w:tab w:val="left" w:pos="2880" w:leader="none"/>
        </w:tabs>
        <w:ind w:hanging="2880" w:start="2880" w:end="0"/>
        <w:rPr/>
      </w:pPr>
      <w:r>
        <w:rPr>
          <w:b/>
          <w:u w:val="single"/>
        </w:rPr>
        <w:t>Other Provisions:</w:t>
      </w:r>
      <w:r>
        <w:rPr>
          <w:b/>
        </w:rPr>
        <w:tab/>
      </w:r>
      <w:r>
        <w:rPr/>
        <w:t>ENA shall provide to REDDING all renewal rights as applicable, on Nova and ANG systems. Service to expire Oct/31/2008.  REDDING shall hold all renewal rights to expiration and may exercise these rights as per the capacity release schedule directed by Nova and ANG prior to the expiration date.</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Surcharge:</w:t>
      </w:r>
      <w:r>
        <w:rPr/>
        <w:tab/>
        <w:t xml:space="preserve">REDDING shall pay an amount equal to 1.1% of the DCQ which represents the difference between the current PGT Fuel rates           (which will fluctuate each month) and the proposed PGT Fuel rates for shippers who would have received capacity in the PGT open season.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b/>
          <w:u w:val="single"/>
        </w:rPr>
        <w:t>Conditions Precedent:</w:t>
      </w:r>
      <w:r>
        <w:rPr/>
        <w:tab/>
        <w:t>(a) Nova, ANG and PGT shall confirm that REDDING satisfies the necessary creditworthiness requirements for the purposes of permitting the transfer of the Assigned Capacity to REDDING.</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(b) REDDING shall provide all necessary documentation and credit covenants as required by PGT, Nova and ANG to facilitate the assignment.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Heading1"/>
        <w:ind w:hanging="0" w:start="0"/>
        <w:rPr>
          <w:u w:val="single"/>
        </w:rPr>
      </w:pPr>
      <w:r>
        <w:rPr>
          <w:u w:val="single"/>
        </w:rPr>
      </w:r>
    </w:p>
    <w:p>
      <w:pPr>
        <w:pStyle w:val="Heading1"/>
        <w:ind w:hanging="0" w:start="0"/>
        <w:rPr>
          <w:u w:val="single"/>
        </w:rPr>
      </w:pPr>
      <w:r>
        <w:rPr>
          <w:u w:val="single"/>
        </w:rPr>
        <w:t xml:space="preserve">Part 2.     Sales Volume @ Aeco/NIT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rPr>
        <w:t xml:space="preserve">Volume: </w:t>
        <w:tab/>
      </w:r>
      <w:r>
        <w:rPr/>
        <w:t>10,500 MMbtu/Day (10,000 MMBtu/day est. fuel of 3.4+1.6%)</w:t>
      </w:r>
    </w:p>
    <w:p>
      <w:pPr>
        <w:pStyle w:val="Header"/>
        <w:tabs>
          <w:tab w:val="clear" w:pos="4680"/>
          <w:tab w:val="clear" w:pos="9360"/>
          <w:tab w:val="left" w:pos="2880" w:leader="none"/>
        </w:tabs>
        <w:rPr/>
      </w:pPr>
      <w:r>
        <w:rPr/>
      </w:r>
    </w:p>
    <w:p>
      <w:pPr>
        <w:pStyle w:val="Normal"/>
        <w:tabs>
          <w:tab w:val="clear" w:pos="720"/>
          <w:tab w:val="left" w:pos="2880" w:leader="none"/>
        </w:tabs>
        <w:rPr/>
      </w:pPr>
      <w:r>
        <w:rPr>
          <w:b/>
        </w:rPr>
        <w:t xml:space="preserve">Term: </w:t>
        <w:tab/>
      </w:r>
      <w:r>
        <w:rPr/>
        <w:t xml:space="preserve">November 1, 2002 – October 31, 2012 ( 10 Years) </w:t>
      </w:r>
    </w:p>
    <w:p>
      <w:pPr>
        <w:pStyle w:val="Normal"/>
        <w:ind w:hanging="2880" w:start="2880" w:end="0"/>
        <w:rPr/>
      </w:pPr>
      <w:r>
        <w:rPr/>
      </w:r>
    </w:p>
    <w:p>
      <w:pPr>
        <w:pStyle w:val="Normal"/>
        <w:rPr/>
      </w:pPr>
      <w:r>
        <w:rPr>
          <w:b/>
        </w:rPr>
        <w:t>Delivery Point:</w:t>
        <w:tab/>
        <w:tab/>
      </w:r>
      <w:r>
        <w:rPr/>
        <w:t>AECO/NIT</w:t>
      </w:r>
    </w:p>
    <w:p>
      <w:pPr>
        <w:pStyle w:val="Normal"/>
        <w:rPr>
          <w:b/>
        </w:rPr>
      </w:pPr>
      <w:r>
        <w:rPr>
          <w:b/>
        </w:rPr>
      </w:r>
    </w:p>
    <w:p>
      <w:pPr>
        <w:pStyle w:val="Normal"/>
        <w:rPr/>
      </w:pPr>
      <w:r>
        <w:rPr>
          <w:b/>
        </w:rPr>
        <w:t>Buyer:</w:t>
        <w:tab/>
        <w:tab/>
        <w:tab/>
        <w:tab/>
      </w:r>
      <w:r>
        <w:rPr/>
        <w:t>REDDING</w:t>
      </w:r>
    </w:p>
    <w:p>
      <w:pPr>
        <w:pStyle w:val="Normal"/>
        <w:rPr>
          <w:b/>
        </w:rPr>
      </w:pPr>
      <w:r>
        <w:rPr>
          <w:b/>
        </w:rPr>
      </w:r>
    </w:p>
    <w:p>
      <w:pPr>
        <w:pStyle w:val="Normal"/>
        <w:rPr/>
      </w:pPr>
      <w:r>
        <w:rPr>
          <w:b/>
        </w:rPr>
        <w:t>Seller:</w:t>
        <w:tab/>
        <w:tab/>
        <w:tab/>
        <w:tab/>
      </w:r>
      <w:r>
        <w:rPr/>
        <w:t xml:space="preserve">Enron Canada Corp. </w:t>
      </w:r>
    </w:p>
    <w:p>
      <w:pPr>
        <w:pStyle w:val="Normal"/>
        <w:rPr/>
      </w:pPr>
      <w:r>
        <w:rPr/>
      </w:r>
    </w:p>
    <w:p>
      <w:pPr>
        <w:pStyle w:val="Normal"/>
        <w:rPr/>
      </w:pPr>
      <w:r>
        <w:rPr>
          <w:b/>
        </w:rPr>
        <w:t>Price:</w:t>
      </w:r>
      <w:r>
        <w:rPr/>
        <w:tab/>
        <w:tab/>
        <w:tab/>
        <w:tab/>
        <w:t>$ 4.50 US/MMbtu</w:t>
      </w:r>
    </w:p>
    <w:p>
      <w:pPr>
        <w:pStyle w:val="Normal"/>
        <w:rPr/>
      </w:pPr>
      <w:r>
        <w:rPr/>
      </w:r>
    </w:p>
    <w:p>
      <w:pPr>
        <w:pStyle w:val="Normal"/>
        <w:rPr/>
      </w:pPr>
      <w:r>
        <w:rPr>
          <w:b/>
        </w:rPr>
        <w:t>Load Factor:</w:t>
        <w:tab/>
      </w:r>
      <w:r>
        <w:rPr/>
        <w:tab/>
        <w:tab/>
        <w:t>100%</w:t>
      </w:r>
    </w:p>
    <w:p>
      <w:pPr>
        <w:pStyle w:val="Normal"/>
        <w:rPr>
          <w:b/>
        </w:rPr>
      </w:pPr>
      <w:r>
        <w:rPr>
          <w:b/>
        </w:rPr>
      </w:r>
    </w:p>
    <w:p>
      <w:pPr>
        <w:pStyle w:val="Normal"/>
        <w:tabs>
          <w:tab w:val="clear" w:pos="720"/>
          <w:tab w:val="left" w:pos="2880" w:leader="none"/>
        </w:tabs>
        <w:ind w:hanging="2880" w:start="2880" w:end="0"/>
        <w:rPr/>
      </w:pPr>
      <w:r>
        <w:rPr>
          <w:b/>
        </w:rPr>
        <w:t>Other:</w:t>
      </w:r>
      <w:r>
        <w:rPr/>
        <w:t xml:space="preserve"> </w:t>
        <w:tab/>
        <w:t>REDDING and Enron Canada Corp. will execute a Master Firm Agreement and a confirmation to the Master Firm. ( see attached draft of Master Firm Agreement ).</w:t>
      </w:r>
    </w:p>
    <w:p>
      <w:pPr>
        <w:pStyle w:val="Normal"/>
        <w:rPr/>
      </w:pPr>
      <w:r>
        <w:rPr/>
      </w:r>
    </w:p>
    <w:p>
      <w:pPr>
        <w:pStyle w:val="Normal"/>
        <w:rPr>
          <w:sz w:val="22"/>
        </w:rPr>
      </w:pPr>
      <w:r>
        <w:rPr>
          <w:sz w:val="22"/>
        </w:rPr>
      </w:r>
    </w:p>
    <w:p>
      <w:pPr>
        <w:pStyle w:val="Heading1"/>
        <w:ind w:hanging="0" w:start="0"/>
        <w:rPr>
          <w:u w:val="single"/>
        </w:rPr>
      </w:pPr>
      <w:r>
        <w:rPr>
          <w:u w:val="single"/>
        </w:rPr>
        <w:t xml:space="preserve">Part 3.     Surcharge Buy/Sell Volume @ AECO/NIT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rPr>
        <w:t xml:space="preserve">Volume: </w:t>
        <w:tab/>
      </w:r>
      <w:r>
        <w:rPr/>
        <w:t xml:space="preserve">1.1% of 10,000 MMbtu/d = 110 MMbtu/day </w:t>
      </w:r>
    </w:p>
    <w:p>
      <w:pPr>
        <w:pStyle w:val="Normal"/>
        <w:tabs>
          <w:tab w:val="clear" w:pos="720"/>
          <w:tab w:val="left" w:pos="2880" w:leader="none"/>
        </w:tabs>
        <w:rPr>
          <w:b/>
        </w:rPr>
      </w:pPr>
      <w:r>
        <w:rPr>
          <w:b/>
        </w:rPr>
      </w:r>
    </w:p>
    <w:p>
      <w:pPr>
        <w:pStyle w:val="Normal"/>
        <w:tabs>
          <w:tab w:val="clear" w:pos="720"/>
          <w:tab w:val="left" w:pos="2880" w:leader="none"/>
        </w:tabs>
        <w:rPr/>
      </w:pPr>
      <w:r>
        <w:rPr>
          <w:b/>
        </w:rPr>
        <w:t xml:space="preserve">Term: </w:t>
        <w:tab/>
      </w:r>
      <w:r>
        <w:rPr/>
        <w:t xml:space="preserve">November 1, 2002 – October 31, 2012 ( 10 Years) </w:t>
      </w:r>
    </w:p>
    <w:p>
      <w:pPr>
        <w:pStyle w:val="Header"/>
        <w:tabs>
          <w:tab w:val="clear" w:pos="4680"/>
          <w:tab w:val="clear" w:pos="9360"/>
          <w:tab w:val="left" w:pos="2880" w:leader="none"/>
        </w:tabs>
        <w:rPr/>
      </w:pPr>
      <w:r>
        <w:rPr/>
      </w:r>
    </w:p>
    <w:p>
      <w:pPr>
        <w:pStyle w:val="Normal"/>
        <w:rPr/>
      </w:pPr>
      <w:r>
        <w:rPr>
          <w:b/>
        </w:rPr>
        <w:t>Delivery Point:</w:t>
        <w:tab/>
        <w:tab/>
      </w:r>
      <w:r>
        <w:rPr/>
        <w:t>AECO/NIT</w:t>
      </w:r>
    </w:p>
    <w:p>
      <w:pPr>
        <w:pStyle w:val="Normal"/>
        <w:rPr>
          <w:b/>
        </w:rPr>
      </w:pPr>
      <w:r>
        <w:rPr>
          <w:b/>
        </w:rPr>
      </w:r>
    </w:p>
    <w:p>
      <w:pPr>
        <w:pStyle w:val="Normal"/>
        <w:rPr/>
      </w:pPr>
      <w:r>
        <w:rPr>
          <w:b/>
        </w:rPr>
        <w:t>Buyer:</w:t>
        <w:tab/>
        <w:tab/>
        <w:tab/>
        <w:tab/>
      </w:r>
      <w:r>
        <w:rPr/>
        <w:t xml:space="preserve">REDDING </w:t>
      </w:r>
    </w:p>
    <w:p>
      <w:pPr>
        <w:pStyle w:val="Normal"/>
        <w:rPr>
          <w:b/>
        </w:rPr>
      </w:pPr>
      <w:r>
        <w:rPr>
          <w:b/>
        </w:rPr>
      </w:r>
    </w:p>
    <w:p>
      <w:pPr>
        <w:pStyle w:val="Normal"/>
        <w:rPr/>
      </w:pPr>
      <w:r>
        <w:rPr>
          <w:b/>
        </w:rPr>
        <w:t>Seller:</w:t>
        <w:tab/>
        <w:tab/>
        <w:tab/>
        <w:tab/>
      </w:r>
      <w:r>
        <w:rPr/>
        <w:t xml:space="preserve">Enron Canada Corp. </w:t>
      </w:r>
    </w:p>
    <w:p>
      <w:pPr>
        <w:pStyle w:val="Normal"/>
        <w:rPr/>
      </w:pPr>
      <w:r>
        <w:rPr/>
      </w:r>
    </w:p>
    <w:p>
      <w:pPr>
        <w:pStyle w:val="Normal"/>
        <w:rPr/>
      </w:pPr>
      <w:r>
        <w:rPr>
          <w:b/>
        </w:rPr>
        <w:t>Price:</w:t>
      </w:r>
      <w:r>
        <w:rPr/>
        <w:tab/>
        <w:tab/>
        <w:tab/>
        <w:tab/>
        <w:t>$ 4.50 US/MMbtu</w:t>
      </w:r>
    </w:p>
    <w:p>
      <w:pPr>
        <w:pStyle w:val="Normal"/>
        <w:rPr/>
      </w:pPr>
      <w:r>
        <w:rPr/>
      </w:r>
    </w:p>
    <w:p>
      <w:pPr>
        <w:pStyle w:val="Normal"/>
        <w:rPr/>
      </w:pPr>
      <w:r>
        <w:rPr>
          <w:b/>
        </w:rPr>
        <w:t>Load Factor:</w:t>
        <w:tab/>
      </w:r>
      <w:r>
        <w:rPr/>
        <w:tab/>
        <w:tab/>
        <w:t>100%</w:t>
      </w:r>
    </w:p>
    <w:p>
      <w:pPr>
        <w:pStyle w:val="Normal"/>
        <w:rPr>
          <w:b/>
        </w:rPr>
      </w:pPr>
      <w:r>
        <w:rPr>
          <w:b/>
        </w:rPr>
      </w:r>
    </w:p>
    <w:p>
      <w:pPr>
        <w:pStyle w:val="Normal"/>
        <w:tabs>
          <w:tab w:val="clear" w:pos="720"/>
          <w:tab w:val="left" w:pos="2880" w:leader="none"/>
        </w:tabs>
        <w:ind w:hanging="2880" w:start="2880" w:end="0"/>
        <w:rPr/>
      </w:pPr>
      <w:r>
        <w:rPr>
          <w:b/>
        </w:rPr>
        <w:t>Other:</w:t>
      </w:r>
      <w:r>
        <w:rPr/>
        <w:t xml:space="preserve"> </w:t>
        <w:tab/>
        <w:t xml:space="preserve">ENA will create an offsetting buy from REDDING at a purchase price of zero to facilitate the buy/sell.  </w:t>
      </w:r>
    </w:p>
    <w:p>
      <w:pPr>
        <w:pStyle w:val="Normal"/>
        <w:ind w:hanging="2880" w:start="2880" w:end="0"/>
        <w:rPr>
          <w:b/>
          <w:sz w:val="22"/>
        </w:rPr>
      </w:pPr>
      <w:r>
        <w:rPr>
          <w:b/>
          <w:sz w:val="22"/>
        </w:rPr>
      </w:r>
    </w:p>
    <w:p>
      <w:pPr>
        <w:pStyle w:val="Normal"/>
        <w:ind w:hanging="2880" w:start="2880" w:end="0"/>
        <w:rPr>
          <w:sz w:val="22"/>
        </w:rPr>
      </w:pPr>
      <w:r>
        <w:rPr>
          <w:sz w:val="22"/>
        </w:rPr>
        <w:t xml:space="preserve"> </w:t>
      </w:r>
      <w:r>
        <w:rPr>
          <w:sz w:val="22"/>
        </w:rPr>
        <w:tab/>
      </w:r>
    </w:p>
    <w:p>
      <w:pPr>
        <w:pStyle w:val="BodyTextIndent2"/>
        <w:rPr>
          <w:sz w:val="22"/>
        </w:rPr>
      </w:pPr>
      <w:r>
        <w:rPr>
          <w:sz w:val="22"/>
        </w:rPr>
      </w:r>
    </w:p>
    <w:p>
      <w:pPr>
        <w:pStyle w:val="BodyTextIndent2"/>
        <w:rPr/>
      </w:pPr>
      <w:r>
        <w:rPr/>
      </w:r>
    </w:p>
    <w:p>
      <w:pPr>
        <w:pStyle w:val="BodyTextIndent2"/>
        <w:rPr/>
      </w:pPr>
      <w:r>
        <w:rPr/>
      </w:r>
    </w:p>
    <w:p>
      <w:pPr>
        <w:pStyle w:val="Heading1"/>
        <w:ind w:hanging="0" w:start="0"/>
        <w:rPr>
          <w:u w:val="single"/>
        </w:rPr>
      </w:pPr>
      <w:r>
        <w:rPr>
          <w:u w:val="single"/>
        </w:rPr>
        <w:t xml:space="preserve">Part 4.     Short term  Supply @ Malin,Oregon   </w:t>
      </w:r>
    </w:p>
    <w:p>
      <w:pPr>
        <w:pStyle w:val="Header"/>
        <w:tabs>
          <w:tab w:val="clear" w:pos="4680"/>
          <w:tab w:val="clear" w:pos="9360"/>
        </w:tabs>
        <w:rPr>
          <w:u w:val="single"/>
        </w:rPr>
      </w:pPr>
      <w:r>
        <w:rPr>
          <w:u w:val="single"/>
        </w:rPr>
      </w:r>
    </w:p>
    <w:p>
      <w:pPr>
        <w:pStyle w:val="Header"/>
        <w:tabs>
          <w:tab w:val="clear" w:pos="4680"/>
          <w:tab w:val="clear" w:pos="9360"/>
        </w:tabs>
        <w:rPr/>
      </w:pPr>
      <w:r>
        <w:rPr/>
      </w:r>
    </w:p>
    <w:p>
      <w:pPr>
        <w:pStyle w:val="Normal"/>
        <w:tabs>
          <w:tab w:val="clear" w:pos="720"/>
          <w:tab w:val="left" w:pos="2880" w:leader="none"/>
        </w:tabs>
        <w:rPr/>
      </w:pPr>
      <w:r>
        <w:rPr>
          <w:b/>
        </w:rPr>
        <w:t xml:space="preserve">Volume: </w:t>
        <w:tab/>
      </w:r>
      <w:r>
        <w:rPr/>
        <w:t xml:space="preserve">10,000 MMbtu/d  </w:t>
      </w:r>
    </w:p>
    <w:p>
      <w:pPr>
        <w:pStyle w:val="Normal"/>
        <w:tabs>
          <w:tab w:val="clear" w:pos="720"/>
          <w:tab w:val="left" w:pos="2880" w:leader="none"/>
        </w:tabs>
        <w:rPr>
          <w:b/>
        </w:rPr>
      </w:pPr>
      <w:r>
        <w:rPr>
          <w:b/>
        </w:rPr>
      </w:r>
    </w:p>
    <w:p>
      <w:pPr>
        <w:pStyle w:val="Normal"/>
        <w:tabs>
          <w:tab w:val="clear" w:pos="720"/>
          <w:tab w:val="left" w:pos="2880" w:leader="none"/>
        </w:tabs>
        <w:rPr/>
      </w:pPr>
      <w:r>
        <w:rPr>
          <w:b/>
        </w:rPr>
        <w:t xml:space="preserve">Term: </w:t>
        <w:tab/>
      </w:r>
      <w:r>
        <w:rPr/>
        <w:t>June</w:t>
      </w:r>
      <w:r>
        <w:rPr>
          <w:b/>
        </w:rPr>
        <w:t xml:space="preserve"> </w:t>
      </w:r>
      <w:r>
        <w:rPr/>
        <w:t xml:space="preserve">1, 2002 – October 31, 2002  </w:t>
      </w:r>
    </w:p>
    <w:p>
      <w:pPr>
        <w:pStyle w:val="Header"/>
        <w:tabs>
          <w:tab w:val="clear" w:pos="4680"/>
          <w:tab w:val="clear" w:pos="9360"/>
          <w:tab w:val="left" w:pos="2880" w:leader="none"/>
        </w:tabs>
        <w:rPr/>
      </w:pPr>
      <w:r>
        <w:rPr/>
      </w:r>
    </w:p>
    <w:p>
      <w:pPr>
        <w:pStyle w:val="Normal"/>
        <w:rPr/>
      </w:pPr>
      <w:r>
        <w:rPr>
          <w:b/>
        </w:rPr>
        <w:t>Delivery Point:</w:t>
        <w:tab/>
        <w:tab/>
      </w:r>
      <w:r>
        <w:rPr/>
        <w:t>Malin, Oregon</w:t>
      </w:r>
    </w:p>
    <w:p>
      <w:pPr>
        <w:pStyle w:val="Normal"/>
        <w:rPr>
          <w:b/>
        </w:rPr>
      </w:pPr>
      <w:r>
        <w:rPr>
          <w:b/>
        </w:rPr>
      </w:r>
    </w:p>
    <w:p>
      <w:pPr>
        <w:pStyle w:val="Normal"/>
        <w:rPr/>
      </w:pPr>
      <w:r>
        <w:rPr>
          <w:b/>
        </w:rPr>
        <w:t>Buyer:</w:t>
        <w:tab/>
        <w:tab/>
        <w:tab/>
        <w:tab/>
      </w:r>
      <w:r>
        <w:rPr/>
        <w:t xml:space="preserve">REDDING </w:t>
      </w:r>
    </w:p>
    <w:p>
      <w:pPr>
        <w:pStyle w:val="Normal"/>
        <w:rPr>
          <w:b/>
        </w:rPr>
      </w:pPr>
      <w:r>
        <w:rPr>
          <w:b/>
        </w:rPr>
      </w:r>
    </w:p>
    <w:p>
      <w:pPr>
        <w:pStyle w:val="Normal"/>
        <w:rPr/>
      </w:pPr>
      <w:r>
        <w:rPr>
          <w:b/>
        </w:rPr>
        <w:t>Seller:</w:t>
        <w:tab/>
        <w:tab/>
        <w:tab/>
        <w:tab/>
      </w:r>
      <w:r>
        <w:rPr/>
        <w:t>ENA</w:t>
      </w:r>
    </w:p>
    <w:p>
      <w:pPr>
        <w:pStyle w:val="Normal"/>
        <w:rPr/>
      </w:pPr>
      <w:r>
        <w:rPr/>
      </w:r>
    </w:p>
    <w:p>
      <w:pPr>
        <w:pStyle w:val="Normal"/>
        <w:rPr/>
      </w:pPr>
      <w:r>
        <w:rPr>
          <w:b/>
        </w:rPr>
        <w:t>Price: ( Index )</w:t>
        <w:tab/>
        <w:tab/>
      </w:r>
      <w:r>
        <w:rPr/>
        <w:t>Natural Gas Monthly Index – Malin plus $ .065 US/MMBtu</w:t>
      </w:r>
    </w:p>
    <w:p>
      <w:pPr>
        <w:pStyle w:val="Normal"/>
        <w:rPr/>
      </w:pPr>
      <w:r>
        <w:rPr>
          <w:b/>
        </w:rPr>
        <w:t>Price: ( Fixed Price)</w:t>
      </w:r>
      <w:r>
        <w:rPr/>
        <w:tab/>
        <w:tab/>
        <w:t>$  6.08 US/MMbtu</w:t>
      </w:r>
    </w:p>
    <w:p>
      <w:pPr>
        <w:pStyle w:val="Normal"/>
        <w:rPr/>
      </w:pPr>
      <w:r>
        <w:rPr/>
      </w:r>
    </w:p>
    <w:p>
      <w:pPr>
        <w:pStyle w:val="Normal"/>
        <w:rPr/>
      </w:pPr>
      <w:r>
        <w:rPr>
          <w:b/>
        </w:rPr>
        <w:t>Load Factor:</w:t>
        <w:tab/>
      </w:r>
      <w:r>
        <w:rPr/>
        <w:tab/>
        <w:tab/>
        <w:t>100%</w:t>
      </w:r>
    </w:p>
    <w:p>
      <w:pPr>
        <w:pStyle w:val="Normal"/>
        <w:rPr>
          <w:b/>
        </w:rPr>
      </w:pPr>
      <w:r>
        <w:rPr>
          <w:b/>
        </w:rPr>
      </w:r>
    </w:p>
    <w:p>
      <w:pPr>
        <w:pStyle w:val="Normal"/>
        <w:ind w:hanging="2880" w:start="2880" w:end="0"/>
        <w:rPr>
          <w:b/>
          <w:sz w:val="22"/>
        </w:rPr>
      </w:pPr>
      <w:r>
        <w:rPr>
          <w:b/>
          <w:sz w:val="22"/>
        </w:rPr>
      </w:r>
    </w:p>
    <w:p>
      <w:pPr>
        <w:pStyle w:val="BodyTextIndent2"/>
        <w:rPr>
          <w:b/>
          <w:sz w:val="22"/>
        </w:rPr>
      </w:pPr>
      <w:r>
        <w:rPr>
          <w:b/>
          <w:sz w:val="22"/>
        </w:rPr>
      </w:r>
    </w:p>
    <w:p>
      <w:pPr>
        <w:pStyle w:val="BodyTextIndent2"/>
        <w:rPr/>
      </w:pPr>
      <w:r>
        <w:rPr/>
      </w:r>
    </w:p>
    <w:p>
      <w:pPr>
        <w:pStyle w:val="Normal"/>
        <w:jc w:val="both"/>
        <w:rPr>
          <w:sz w:val="22"/>
        </w:rPr>
      </w:pPr>
      <w:r>
        <w:rPr>
          <w:sz w:val="22"/>
        </w:rPr>
        <w:t xml:space="preserve">The capacity to be assigned will be provided in conjunction with Part 3.  Part 2 and Part 4 can be separate agreements that do not have to form part of the Transportation offer. Please review this draft term sheet and contact me to discuss all of the details as required @ 713-853-1587. </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880" w:leader="none"/>
        </w:tabs>
        <w:ind w:hanging="2880" w:start="2880" w:end="0"/>
        <w:jc w:val="both"/>
        <w:rPr/>
      </w:pPr>
      <w:r>
        <w:rPr/>
        <w:t>Thanks in advance.</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Heading3"/>
        <w:rPr/>
      </w:pPr>
      <w:r>
        <w:rPr/>
        <w:t xml:space="preserve">Enron North America </w:t>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r>
    </w:p>
    <w:p>
      <w:pPr>
        <w:pStyle w:val="Normal"/>
        <w:tabs>
          <w:tab w:val="clear" w:pos="720"/>
          <w:tab w:val="left" w:pos="2880" w:leader="none"/>
        </w:tabs>
        <w:ind w:hanging="2880" w:start="2880" w:end="0"/>
        <w:jc w:val="both"/>
        <w:rPr/>
      </w:pPr>
      <w:r>
        <w:rPr/>
        <w:t>___________________________________</w:t>
      </w:r>
    </w:p>
    <w:p>
      <w:pPr>
        <w:pStyle w:val="Normal"/>
        <w:tabs>
          <w:tab w:val="clear" w:pos="720"/>
          <w:tab w:val="left" w:pos="2880" w:leader="none"/>
        </w:tabs>
        <w:ind w:hanging="2880" w:start="2880" w:end="0"/>
        <w:jc w:val="both"/>
        <w:rPr/>
      </w:pPr>
      <w:r>
        <w:rPr/>
        <w:t xml:space="preserve">Barry Tycholiz </w:t>
      </w:r>
    </w:p>
    <w:p>
      <w:pPr>
        <w:pStyle w:val="Normal"/>
        <w:tabs>
          <w:tab w:val="clear" w:pos="720"/>
          <w:tab w:val="left" w:pos="2880" w:leader="none"/>
        </w:tabs>
        <w:ind w:hanging="2880" w:start="2880" w:end="0"/>
        <w:jc w:val="both"/>
        <w:rPr/>
      </w:pPr>
      <w:r>
        <w:rPr/>
        <w:t>Vice President, West Gas Origination</w:t>
      </w:r>
    </w:p>
    <w:p>
      <w:pPr>
        <w:pStyle w:val="Normal"/>
        <w:tabs>
          <w:tab w:val="clear" w:pos="720"/>
          <w:tab w:val="left" w:pos="2880" w:leader="none"/>
        </w:tabs>
        <w:ind w:hanging="2880" w:start="2880" w:end="0"/>
        <w:jc w:val="both"/>
        <w:rPr/>
      </w:pPr>
      <w:r>
        <w:rPr/>
        <w:t xml:space="preserve"> </w:t>
      </w:r>
    </w:p>
    <w:p>
      <w:pPr>
        <w:pStyle w:val="Normal"/>
        <w:ind w:end="720"/>
        <w:rPr>
          <w:rFonts w:ascii="Arial" w:hAnsi="Arial" w:cs="Arial"/>
          <w:sz w:val="22"/>
        </w:rPr>
      </w:pPr>
      <w:r>
        <w:rPr>
          <w:rFonts w:cs="Arial" w:ascii="Arial" w:hAnsi="Arial"/>
          <w:sz w:val="22"/>
        </w:rPr>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City of Redding</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DATE \@"M\/d\/yyyy" </w:instrText>
    </w:r>
    <w:r>
      <w:rPr/>
      <w:fldChar w:fldCharType="separate"/>
    </w:r>
    <w:r>
      <w:rPr/>
      <w:t>9/28/2025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2001-02-27T13:02:00Z</dcterms:created>
  <dc:creator>David R. Keyes</dc:creator>
  <dc:description/>
  <dc:language>en-CA</dc:language>
  <cp:lastModifiedBy>btychol</cp:lastModifiedBy>
  <cp:lastPrinted>2001-02-27T14:56:00Z</cp:lastPrinted>
  <dcterms:modified xsi:type="dcterms:W3CDTF">2001-02-27T21:17:00Z</dcterms:modified>
  <cp:revision>9</cp:revision>
  <dc:subject/>
  <dc:title>SUMMARY OF TERMS AND CONDITIONS</dc:title>
</cp:coreProperties>
</file>