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September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Citigroup Inc.</w:t>
      </w:r>
    </w:p>
    <w:p>
      <w:pPr>
        <w:pStyle w:val="Normal"/>
        <w:jc w:val="both"/>
        <w:rPr/>
      </w:pPr>
      <w:r>
        <w:rPr>
          <w:rFonts w:cs="Times New Roman" w:ascii="Times New Roman" w:hAnsi="Times New Roman"/>
          <w:sz w:val="22"/>
        </w:rPr>
        <w:t>250 West Street, 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Citigroup Inc.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(the "Confidential Information").  The term "Confidential Information" shall include information disclosed by the parties prior to the date hereof in connection with this Transaction, and, with respect to the receiving party, shall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CITIGROUP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/mnt/main-storage/datasets/enron-docs/doc/citigroup_1.doc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Citigroup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2001-09-18T17:43:00Z</dcterms:created>
  <dc:creator>ECT</dc:creator>
  <dc:description/>
  <dc:language>en-CA</dc:language>
  <cp:lastModifiedBy>tjones</cp:lastModifiedBy>
  <cp:lastPrinted>2001-09-17T14:46:00Z</cp:lastPrinted>
  <dcterms:modified xsi:type="dcterms:W3CDTF">2001-09-18T17:45:00Z</dcterms:modified>
  <cp:revision>4</cp:revision>
  <dc:subject/>
  <dc:title>Reciprocal Confidentiality Agreement</dc:title>
</cp:coreProperties>
</file>