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rFonts w:ascii="Arial" w:hAnsi="Arial" w:cs="Arial"/>
          <w:bCs/>
          <w:sz w:val="32"/>
        </w:rPr>
      </w:pPr>
      <w:r>
        <w:rPr>
          <w:rFonts w:cs="Arial" w:ascii="Arial" w:hAnsi="Arial"/>
          <w:bCs/>
          <w:sz w:val="32"/>
        </w:rPr>
        <w:t>Cinergy Hub On-Peak Hourly Index for Feb. 1, 2001: $32.35</w:t>
      </w:r>
    </w:p>
    <w:p>
      <w:pPr>
        <w:pStyle w:val="BodyText2"/>
        <w:rPr/>
      </w:pPr>
      <w:r>
        <w:rPr>
          <w:rFonts w:cs="Arial" w:ascii="Arial" w:hAnsi="Arial"/>
          <w:bCs/>
        </w:rPr>
        <w:t>HOUSTON — The TradersNews Cinergy</w:t>
      </w:r>
      <w:r>
        <w:rPr>
          <w:rFonts w:cs="Arial" w:ascii="Arial" w:hAnsi="Arial"/>
          <w:bCs/>
          <w:color w:val="FF6600"/>
        </w:rPr>
        <w:t xml:space="preserve"> </w:t>
      </w:r>
      <w:r>
        <w:rPr>
          <w:rFonts w:cs="Tahoma" w:ascii="Arial" w:hAnsi="Arial"/>
        </w:rPr>
        <w:t>hub index for the 16-hour average of trades for Feb. 1 on-peak hours is $32.35, $3.16 above the previous index.</w:t>
      </w:r>
    </w:p>
    <w:p>
      <w:pPr>
        <w:pStyle w:val="Heading2"/>
        <w:ind w:hanging="0" w:start="0"/>
        <w:jc w:val="start"/>
        <w:rPr>
          <w:rFonts w:cs="Courier New"/>
          <w:sz w:val="20"/>
        </w:rPr>
      </w:pPr>
      <w:r>
        <w:rPr>
          <w:rFonts w:cs="Courier New"/>
          <w:sz w:val="20"/>
        </w:rPr>
        <w:t>Cinergy Hub Hourly On-Peak Trades for 02/01/01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bookmarkStart w:id="0" w:name="OLE_LINK47"/>
            <w:bookmarkEnd w:id="0"/>
            <w:r>
              <w:rPr>
                <w:rFonts w:cs="Arial" w:ascii="Arial" w:hAnsi="Arial"/>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38.65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1,515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Tahoma"/>
                <w:sz w:val="20"/>
                <w:szCs w:val="20"/>
              </w:rPr>
            </w:pPr>
            <w:r>
              <w:rPr>
                <w:rFonts w:eastAsia="Arial Unicode MS" w:cs="Tahoma"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43.82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1,572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Tahoma"/>
                <w:sz w:val="20"/>
                <w:szCs w:val="20"/>
              </w:rPr>
            </w:pPr>
            <w:r>
              <w:rPr>
                <w:rFonts w:eastAsia="Arial Unicode MS" w:cs="Tahoma"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40.03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1,483</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Tahoma"/>
                <w:sz w:val="20"/>
                <w:szCs w:val="20"/>
              </w:rPr>
            </w:pPr>
            <w:r>
              <w:rPr>
                <w:rFonts w:eastAsia="Arial Unicode MS" w:cs="Tahoma"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36.59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1,460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Tahoma"/>
                <w:b/>
                <w:bCs/>
                <w:sz w:val="22"/>
                <w:szCs w:val="20"/>
              </w:rPr>
            </w:pPr>
            <w:r>
              <w:rPr>
                <w:rFonts w:cs="Tahoma" w:ascii="Arial" w:hAnsi="Arial"/>
                <w:b/>
                <w:bCs/>
                <w:sz w:val="22"/>
                <w:szCs w:val="20"/>
              </w:rPr>
              <w:t>$   39.77</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25.52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1,415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Tahoma"/>
                <w:sz w:val="20"/>
                <w:szCs w:val="20"/>
              </w:rPr>
            </w:pPr>
            <w:r>
              <w:rPr>
                <w:rFonts w:eastAsia="Arial Unicode MS" w:cs="Tahoma"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24.35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17.00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1,727</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Tahoma"/>
                <w:sz w:val="20"/>
                <w:szCs w:val="20"/>
              </w:rPr>
            </w:pPr>
            <w:r>
              <w:rPr>
                <w:rFonts w:eastAsia="Arial Unicode MS" w:cs="Tahoma"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22.87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1,556</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Tahoma"/>
                <w:sz w:val="20"/>
                <w:szCs w:val="20"/>
              </w:rPr>
            </w:pPr>
            <w:r>
              <w:rPr>
                <w:rFonts w:eastAsia="Arial Unicode MS" w:cs="Tahoma"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22.54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771</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Tahoma"/>
                <w:b/>
                <w:bCs/>
                <w:sz w:val="22"/>
                <w:szCs w:val="20"/>
              </w:rPr>
            </w:pPr>
            <w:r>
              <w:rPr>
                <w:rFonts w:cs="Tahoma" w:ascii="Arial" w:hAnsi="Arial"/>
                <w:b/>
                <w:bCs/>
                <w:sz w:val="22"/>
                <w:szCs w:val="20"/>
              </w:rPr>
              <w:t>$   23.82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22.05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17.00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1,045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Tahoma"/>
                <w:sz w:val="20"/>
                <w:szCs w:val="20"/>
              </w:rPr>
            </w:pPr>
            <w:r>
              <w:rPr>
                <w:rFonts w:eastAsia="Arial Unicode MS" w:cs="Tahoma"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17.00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1,196</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Tahoma"/>
                <w:sz w:val="20"/>
                <w:szCs w:val="20"/>
              </w:rPr>
            </w:pPr>
            <w:r>
              <w:rPr>
                <w:rFonts w:eastAsia="Arial Unicode MS" w:cs="Tahoma"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25.06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17.00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1,164</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Tahoma"/>
                <w:sz w:val="20"/>
                <w:szCs w:val="20"/>
              </w:rPr>
            </w:pPr>
            <w:r>
              <w:rPr>
                <w:rFonts w:eastAsia="Arial Unicode MS" w:cs="Tahoma"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44.49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1,318</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Tahoma"/>
                <w:b/>
                <w:bCs/>
                <w:sz w:val="22"/>
                <w:szCs w:val="20"/>
              </w:rPr>
            </w:pPr>
            <w:r>
              <w:rPr>
                <w:rFonts w:cs="Tahoma" w:ascii="Arial" w:hAnsi="Arial"/>
                <w:b/>
                <w:bCs/>
                <w:sz w:val="22"/>
                <w:szCs w:val="20"/>
              </w:rPr>
              <w:t>$   28.40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46.63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1,338</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Tahoma"/>
                <w:sz w:val="20"/>
                <w:szCs w:val="20"/>
              </w:rPr>
            </w:pPr>
            <w:r>
              <w:rPr>
                <w:rFonts w:eastAsia="Arial Unicode MS" w:cs="Tahoma"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40.21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1,461</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Tahoma"/>
                <w:sz w:val="20"/>
                <w:szCs w:val="20"/>
              </w:rPr>
            </w:pPr>
            <w:r>
              <w:rPr>
                <w:rFonts w:eastAsia="Arial Unicode MS" w:cs="Tahoma"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35.14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1,371</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Tahoma"/>
                <w:sz w:val="20"/>
                <w:szCs w:val="20"/>
              </w:rPr>
            </w:pPr>
            <w:r>
              <w:rPr>
                <w:rFonts w:eastAsia="Arial Unicode MS" w:cs="Tahoma" w:ascii="Arial" w:hAnsi="Arial"/>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80"/>
              <w:jc w:val="end"/>
              <w:rPr>
                <w:rFonts w:ascii="Arial" w:hAnsi="Arial" w:cs="Arial"/>
                <w:sz w:val="20"/>
                <w:szCs w:val="20"/>
              </w:rPr>
            </w:pPr>
            <w:r>
              <w:rPr>
                <w:rFonts w:cs="Arial" w:ascii="Arial" w:hAnsi="Arial"/>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27.62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1,190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Tahoma"/>
                <w:b/>
                <w:bCs/>
                <w:sz w:val="22"/>
                <w:szCs w:val="20"/>
              </w:rPr>
            </w:pPr>
            <w:r>
              <w:rPr>
                <w:rFonts w:cs="Tahoma" w:ascii="Arial" w:hAnsi="Arial"/>
                <w:b/>
                <w:bCs/>
                <w:sz w:val="22"/>
                <w:szCs w:val="20"/>
              </w:rPr>
              <w:t>$   37.40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eastAsia="Arial Unicode MS" w:cs="Arial"/>
                <w:b/>
                <w:bCs/>
                <w:color w:val="000000"/>
                <w:sz w:val="20"/>
                <w:szCs w:val="20"/>
              </w:rPr>
            </w:pPr>
            <w:r>
              <w:rPr>
                <w:rFonts w:eastAsia="Arial Unicode MS" w:cs="Arial" w:ascii="Arial" w:hAnsi="Arial"/>
                <w:b/>
                <w:bCs/>
                <w:color w:val="0000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 w:cs="Tahoma"/>
                <w:sz w:val="20"/>
                <w:szCs w:val="20"/>
              </w:rPr>
            </w:pPr>
            <w:r>
              <w:rPr>
                <w:rFonts w:eastAsia="Arial Unicode MS"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 w:cs="Tahoma"/>
                <w:sz w:val="20"/>
                <w:szCs w:val="20"/>
              </w:rPr>
            </w:pPr>
            <w:r>
              <w:rPr>
                <w:rFonts w:eastAsia="Arial Unicode MS"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Tahoma" w:hAnsi="Tahoma" w:eastAsia="Arial Unicode MS" w:cs="Tahoma"/>
                <w:sz w:val="20"/>
                <w:szCs w:val="20"/>
              </w:rPr>
            </w:pPr>
            <w:r>
              <w:rPr>
                <w:rFonts w:eastAsia="Arial Unicode MS"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Tahoma"/>
                <w:sz w:val="20"/>
                <w:szCs w:val="20"/>
              </w:rPr>
            </w:pPr>
            <w:r>
              <w:rPr>
                <w:rFonts w:eastAsia="Arial Unicode MS" w:cs="Tahoma"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Tahoma"/>
                <w:color w:val="000000"/>
                <w:sz w:val="22"/>
                <w:szCs w:val="20"/>
              </w:rPr>
            </w:pPr>
            <w:r>
              <w:rPr>
                <w:rFonts w:cs="Tahoma" w:ascii="Arial" w:hAnsi="Arial"/>
                <w:color w:val="000000"/>
                <w:sz w:val="22"/>
                <w:szCs w:val="20"/>
              </w:rPr>
              <w:t xml:space="preserve">$             </w:t>
            </w:r>
            <w:r>
              <w:rPr>
                <w:rFonts w:cs="Tahoma" w:ascii="Arial" w:hAnsi="Arial"/>
                <w:b/>
                <w:bCs/>
                <w:color w:val="000000"/>
                <w:spacing w:val="26"/>
                <w:sz w:val="22"/>
                <w:szCs w:val="20"/>
                <w:effect w:val="blinkBackground"/>
              </w:rPr>
              <w:t>32.35</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Tahoma"/>
                <w:color w:val="000000"/>
                <w:sz w:val="20"/>
                <w:szCs w:val="20"/>
              </w:rPr>
            </w:pPr>
            <w:r>
              <w:rPr>
                <w:rFonts w:cs="Tahoma"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Tahoma"/>
                <w:color w:val="000000"/>
                <w:sz w:val="20"/>
                <w:szCs w:val="20"/>
              </w:rPr>
            </w:pPr>
            <w:r>
              <w:rPr>
                <w:rFonts w:cs="Tahoma"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Tahoma"/>
                <w:color w:val="000000"/>
                <w:sz w:val="20"/>
                <w:szCs w:val="20"/>
              </w:rPr>
            </w:pPr>
            <w:r>
              <w:rPr>
                <w:rFonts w:cs="Tahoma" w:ascii="Arial" w:hAnsi="Arial"/>
                <w:color w:val="000000"/>
                <w:sz w:val="20"/>
                <w:szCs w:val="20"/>
              </w:rPr>
              <w:t>21,582</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Tahoma"/>
                <w:color w:val="000000"/>
                <w:sz w:val="20"/>
                <w:szCs w:val="20"/>
              </w:rPr>
            </w:pPr>
            <w:r>
              <w:rPr>
                <w:rFonts w:cs="Tahoma" w:ascii="Arial" w:hAnsi="Arial"/>
                <w:color w:val="000000"/>
                <w:sz w:val="20"/>
                <w:szCs w:val="20"/>
              </w:rPr>
            </w:r>
          </w:p>
        </w:tc>
      </w:tr>
    </w:tbl>
    <w:p>
      <w:pPr>
        <w:pStyle w:val="BodyText2"/>
        <w:rPr>
          <w:rFonts w:ascii="Arial" w:hAnsi="Arial" w:cs="Arial"/>
        </w:rPr>
      </w:pPr>
      <w:r>
        <w:rPr>
          <w:rFonts w:cs="Arial" w:ascii="Arial" w:hAnsi="Arial"/>
        </w:rPr>
        <w:t>On Feb. 1, there were trades reported for each peak hour.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b/>
          <w:bCs/>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Cinergy hub. All times are Central Prevailing Time (CPT).</w:t>
      </w:r>
    </w:p>
    <w:p>
      <w:pPr>
        <w:pStyle w:val="BodyText2"/>
        <w:rPr>
          <w:rFonts w:ascii="Arial" w:hAnsi="Arial" w:cs="Arial"/>
          <w:b/>
          <w:bCs/>
          <w:color w:val="FF6600"/>
          <w:sz w:val="22"/>
        </w:rPr>
      </w:pPr>
      <w:r>
        <w:rPr>
          <w:rFonts w:cs="Arial" w:ascii="Arial" w:hAnsi="Arial"/>
          <w:b/>
          <w:bCs/>
          <w:color w:val="FF6600"/>
          <w:sz w:val="22"/>
        </w:rPr>
        <w:t xml:space="preserve">END </w:t>
      </w:r>
    </w:p>
    <w:p>
      <w:pPr>
        <w:pStyle w:val="BodyText2"/>
        <w:rPr>
          <w:rFonts w:ascii="Arial" w:hAnsi="Arial" w:cs="Arial"/>
        </w:rPr>
      </w:pPr>
      <w:r>
        <w:rPr>
          <w:rFonts w:cs="Arial" w:ascii="Arial" w:hAnsi="Arial"/>
        </w:rPr>
        <w:t>Comments or questions? Email Bobette Riner at bobette.riner@ipgdirect.com, or call her at 713-647-8690. Email Ellen Clardy, Ph.D. at ellen.clardy@ipgdirect.com, or call her at 713-647-6603. Email Suzanna Strangmeier at Suzanna.Strangmeier@ipgdirect.com, or call her at 713-647-7325.</w:t>
      </w:r>
    </w:p>
    <w:p>
      <w:pPr>
        <w:pStyle w:val="BodyText2"/>
        <w:rPr>
          <w:rFonts w:ascii="Arial" w:hAnsi="Arial" w:eastAsia="Arial Unicode MS"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 w:cs="Arial"/>
          <w:b/>
          <w:bCs/>
        </w:rPr>
      </w:pPr>
      <w:r>
        <w:rPr>
          <w:rFonts w:eastAsia="Arial Unicode MS"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paragraph" w:styleId="Heading4">
    <w:name w:val="heading 4"/>
    <w:basedOn w:val="Normal"/>
    <w:next w:val="Normal"/>
    <w:qFormat/>
    <w:pPr>
      <w:keepNext w:val="true"/>
      <w:numPr>
        <w:ilvl w:val="3"/>
        <w:numId w:val="1"/>
      </w:numPr>
      <w:outlineLvl w:val="3"/>
    </w:pPr>
    <w:rPr>
      <w:b/>
      <w:color w:val="FF6600"/>
    </w:rPr>
  </w:style>
  <w:style w:type="paragraph" w:styleId="Heading5">
    <w:name w:val="heading 5"/>
    <w:basedOn w:val="Normal"/>
    <w:next w:val="Normal"/>
    <w:qFormat/>
    <w:pPr>
      <w:keepNext w:val="true"/>
      <w:numPr>
        <w:ilvl w:val="4"/>
        <w:numId w:val="1"/>
      </w:numPr>
      <w:outlineLvl w:val="4"/>
    </w:pPr>
    <w:rPr>
      <w:rFonts w:ascii="Arial" w:hAnsi="Arial" w:cs="Arial"/>
      <w:b/>
      <w:color w:val="FF6600"/>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2001-02-02T12:16:00Z</dcterms:created>
  <dc:creator>Bobette Riner</dc:creator>
  <dc:description/>
  <dc:language>en-CA</dc:language>
  <cp:lastModifiedBy>bobette riner</cp:lastModifiedBy>
  <cp:lastPrinted>2001-02-01T10:08:00Z</cp:lastPrinted>
  <dcterms:modified xsi:type="dcterms:W3CDTF">2001-02-02T13:40:00Z</dcterms:modified>
  <cp:revision>8</cp:revision>
  <dc:subject/>
  <dc:title>Cinergy Index:  Sept. 12 On-Peak Hourly Trades Average $38.45</dc:title>
</cp:coreProperties>
</file>