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t>4230-0134</w:t>
      </w:r>
    </w:p>
    <w:p>
      <w:pPr>
        <w:pStyle w:val="Normal"/>
        <w:widowControl/>
        <w:tabs>
          <w:tab w:val="clear" w:pos="720"/>
          <w:tab w:val="center" w:pos="4320" w:leader="none"/>
        </w:tabs>
        <w:jc w:val="both"/>
        <w:rPr/>
      </w:pPr>
      <w:r>
        <w:fldChar w:fldCharType="begin"/>
      </w:r>
      <w:r>
        <w:rPr>
          <w:sz w:val="24"/>
        </w:rPr>
        <w:instrText xml:space="preserve">ADVANCE \d36</w:instrText>
      </w:r>
      <w:r>
        <w:rPr>
          <w:sz w:val="24"/>
        </w:rPr>
      </w:r>
      <w:r>
        <w:rPr>
          <w:sz w:val="24"/>
        </w:rPr>
        <w:fldChar w:fldCharType="separate"/>
      </w:r>
      <w:r>
        <w:rPr>
          <w:sz w:val="24"/>
        </w:rPr>
      </w:r>
      <w:r>
        <w:rPr>
          <w:sz w:val="24"/>
        </w:rPr>
      </w:r>
      <w:r>
        <w:rPr>
          <w:sz w:val="24"/>
        </w:rPr>
        <w:fldChar w:fldCharType="end"/>
      </w:r>
      <w:r>
        <w:rPr>
          <w:sz w:val="24"/>
        </w:rPr>
        <w:tab/>
      </w:r>
      <w:r>
        <w:rPr>
          <w:b/>
          <w:bCs/>
          <w:sz w:val="24"/>
        </w:rPr>
        <w:t>UNITED STATES OF AMERICA</w:t>
      </w:r>
    </w:p>
    <w:p>
      <w:pPr>
        <w:pStyle w:val="Normal"/>
        <w:widowControl/>
        <w:tabs>
          <w:tab w:val="clear" w:pos="720"/>
          <w:tab w:val="center" w:pos="4320" w:leader="none"/>
        </w:tabs>
        <w:jc w:val="both"/>
        <w:rPr>
          <w:b/>
          <w:bCs/>
          <w:sz w:val="24"/>
        </w:rPr>
      </w:pPr>
      <w:r>
        <w:rPr>
          <w:b/>
          <w:bCs/>
          <w:sz w:val="24"/>
        </w:rPr>
        <w:tab/>
        <w:t>BEFORE THE</w:t>
      </w:r>
    </w:p>
    <w:p>
      <w:pPr>
        <w:pStyle w:val="Normal"/>
        <w:widowControl/>
        <w:tabs>
          <w:tab w:val="clear" w:pos="720"/>
          <w:tab w:val="center" w:pos="4320" w:leader="none"/>
        </w:tabs>
        <w:jc w:val="both"/>
        <w:rPr>
          <w:sz w:val="24"/>
        </w:rPr>
      </w:pPr>
      <w:r>
        <w:rPr>
          <w:b/>
          <w:bCs/>
          <w:sz w:val="24"/>
        </w:rPr>
        <w:tab/>
        <w:t>FEDERAL ENERGY REGULATORY COMMISSION</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Dynegy Midwest Generation, Inc.</w:t>
        <w:tab/>
        <w:t xml:space="preserve">)  </w:t>
      </w:r>
    </w:p>
    <w:p>
      <w:pPr>
        <w:pStyle w:val="Normal"/>
        <w:widowControl/>
        <w:tabs>
          <w:tab w:val="clear" w:pos="720"/>
          <w:tab w:val="left" w:pos="-1440" w:leader="none"/>
        </w:tabs>
        <w:ind w:hanging="5040" w:start="5040" w:end="0"/>
        <w:jc w:val="both"/>
        <w:rPr>
          <w:sz w:val="24"/>
        </w:rPr>
      </w:pPr>
      <w:r>
        <w:rPr>
          <w:sz w:val="24"/>
        </w:rPr>
        <w:t>and Dynegy Power Marketing, Inc.</w:t>
        <w:tab/>
        <w:t>)Docket No.  EL02-6-000</w:t>
      </w:r>
    </w:p>
    <w:p>
      <w:pPr>
        <w:pStyle w:val="Normal"/>
        <w:widowControl/>
        <w:tabs>
          <w:tab w:val="clear" w:pos="720"/>
          <w:tab w:val="left" w:pos="-1440" w:leader="none"/>
        </w:tabs>
        <w:ind w:hanging="2880" w:start="5040" w:end="0"/>
        <w:jc w:val="both"/>
        <w:rPr>
          <w:sz w:val="24"/>
        </w:rPr>
      </w:pPr>
      <w:r>
        <w:rPr>
          <w:sz w:val="24"/>
        </w:rPr>
        <w:t>Complainants</w:t>
        <w:tab/>
        <w:tab/>
        <w:t>)</w:t>
      </w:r>
    </w:p>
    <w:p>
      <w:pPr>
        <w:pStyle w:val="Normal"/>
        <w:widowControl/>
        <w:tabs>
          <w:tab w:val="clear" w:pos="720"/>
          <w:tab w:val="left" w:pos="-1440" w:leader="none"/>
        </w:tabs>
        <w:ind w:hanging="2880" w:start="5040" w:end="0"/>
        <w:jc w:val="both"/>
        <w:rPr>
          <w:sz w:val="24"/>
        </w:rPr>
      </w:pPr>
      <w:r>
        <w:rPr>
          <w:sz w:val="24"/>
        </w:rPr>
        <w:t>V.</w:t>
        <w:tab/>
        <w:tab/>
        <w:tab/>
        <w:tab/>
        <w:t>)</w:t>
      </w:r>
    </w:p>
    <w:p>
      <w:pPr>
        <w:pStyle w:val="Normal"/>
        <w:widowControl/>
        <w:tabs>
          <w:tab w:val="clear" w:pos="720"/>
          <w:tab w:val="left" w:pos="-1440" w:leader="none"/>
        </w:tabs>
        <w:ind w:hanging="5040" w:start="5040" w:end="0"/>
        <w:jc w:val="both"/>
        <w:rPr>
          <w:sz w:val="24"/>
        </w:rPr>
      </w:pPr>
      <w:r>
        <w:rPr>
          <w:sz w:val="24"/>
        </w:rPr>
        <w:t>Commonwealth Edison Company</w:t>
        <w:tab/>
        <w:tab/>
        <w:t>)</w:t>
      </w:r>
    </w:p>
    <w:p>
      <w:pPr>
        <w:pStyle w:val="Normal"/>
        <w:widowControl/>
        <w:tabs>
          <w:tab w:val="clear" w:pos="720"/>
          <w:tab w:val="left" w:pos="-1440" w:leader="none"/>
        </w:tabs>
        <w:ind w:hanging="2880" w:start="5040" w:end="0"/>
        <w:jc w:val="both"/>
        <w:rPr>
          <w:sz w:val="24"/>
        </w:rPr>
      </w:pPr>
      <w:r>
        <w:rPr>
          <w:sz w:val="24"/>
        </w:rPr>
        <w:t>Respondent</w:t>
        <w:tab/>
        <w:tab/>
        <w:t>)</w:t>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320" w:leader="none"/>
        </w:tabs>
        <w:jc w:val="both"/>
        <w:rPr/>
      </w:pPr>
      <w:r>
        <w:rPr>
          <w:sz w:val="24"/>
        </w:rPr>
        <w:tab/>
      </w:r>
      <w:r>
        <w:rPr>
          <w:b/>
          <w:bCs/>
          <w:sz w:val="24"/>
        </w:rPr>
        <w:t>MOTION OF CENTRAL ILLINOIS LIGHT COMPANY</w:t>
      </w:r>
    </w:p>
    <w:p>
      <w:pPr>
        <w:pStyle w:val="Normal"/>
        <w:widowControl/>
        <w:tabs>
          <w:tab w:val="clear" w:pos="720"/>
          <w:tab w:val="center" w:pos="4320" w:leader="none"/>
        </w:tabs>
        <w:jc w:val="both"/>
        <w:rPr>
          <w:sz w:val="24"/>
        </w:rPr>
      </w:pPr>
      <w:r>
        <w:rPr>
          <w:b/>
          <w:bCs/>
          <w:sz w:val="24"/>
        </w:rPr>
        <w:tab/>
      </w:r>
      <w:r>
        <w:rPr>
          <w:b/>
          <w:bCs/>
          <w:sz w:val="24"/>
          <w:u w:val="single"/>
        </w:rPr>
        <w:t xml:space="preserve">           FOR LEAVE TO INTERVENE</w:t>
      </w:r>
      <w:r>
        <w:rPr>
          <w:sz w:val="24"/>
          <w:u w:val="single"/>
        </w:rPr>
        <w:t xml:space="preserve">       </w:t>
      </w:r>
    </w:p>
    <w:p>
      <w:pPr>
        <w:pStyle w:val="Normal"/>
        <w:widowControl/>
        <w:jc w:val="both"/>
        <w:rPr>
          <w:sz w:val="24"/>
        </w:rPr>
      </w:pPr>
      <w:r>
        <w:rPr>
          <w:sz w:val="24"/>
        </w:rPr>
      </w:r>
    </w:p>
    <w:p>
      <w:pPr>
        <w:pStyle w:val="Normal"/>
        <w:widowControl/>
        <w:jc w:val="both"/>
        <w:rPr>
          <w:sz w:val="24"/>
        </w:rPr>
      </w:pPr>
      <w:r>
        <w:rPr>
          <w:sz w:val="24"/>
        </w:rPr>
      </w:r>
    </w:p>
    <w:p>
      <w:pPr>
        <w:pStyle w:val="Normal"/>
        <w:widowControl/>
        <w:spacing w:lineRule="auto" w:line="480"/>
        <w:ind w:firstLine="720" w:end="0"/>
        <w:jc w:val="both"/>
        <w:rPr>
          <w:sz w:val="24"/>
        </w:rPr>
      </w:pPr>
      <w:r>
        <w:rPr>
          <w:sz w:val="24"/>
        </w:rPr>
        <w:t>CENTRAL ILLINOIS LIGHT COMPANY, a corporation organized under the laws of the State of Illinois, having its office and principal place of business at 300 Liberty Street, Peoria, Illinois 61602 (hereinafter called "CILCO"), hereby petitions the Commission for leave to intervene in this case and states as follows:</w:t>
      </w:r>
    </w:p>
    <w:p>
      <w:pPr>
        <w:pStyle w:val="Level1"/>
        <w:widowControl/>
        <w:numPr>
          <w:ilvl w:val="0"/>
          <w:numId w:val="1"/>
        </w:numPr>
        <w:tabs>
          <w:tab w:val="left" w:pos="1440" w:leader="none"/>
        </w:tabs>
        <w:spacing w:lineRule="auto" w:line="480"/>
        <w:jc w:val="both"/>
        <w:rPr>
          <w:szCs w:val="20"/>
        </w:rPr>
      </w:pPr>
      <w:r>
        <w:rPr>
          <w:szCs w:val="20"/>
        </w:rPr>
        <w:t>The name, title and post office address of the persons to whom correspondence in regard to this Motion should be addressed are as follows:</w:t>
      </w:r>
    </w:p>
    <w:p>
      <w:pPr>
        <w:pStyle w:val="Normal"/>
        <w:widowControl/>
        <w:tabs>
          <w:tab w:val="clear" w:pos="720"/>
          <w:tab w:val="left" w:pos="-1440" w:leader="none"/>
        </w:tabs>
        <w:ind w:hanging="5040" w:start="5760" w:end="0"/>
        <w:jc w:val="both"/>
        <w:rPr>
          <w:szCs w:val="20"/>
        </w:rPr>
      </w:pPr>
      <w:r>
        <w:rPr>
          <w:szCs w:val="20"/>
        </w:rPr>
        <w:t>Nick T. Shea*</w:t>
        <w:tab/>
        <w:tab/>
        <w:tab/>
        <w:tab/>
        <w:tab/>
        <w:t>Leslie Recht*</w:t>
      </w:r>
    </w:p>
    <w:p>
      <w:pPr>
        <w:pStyle w:val="Normal"/>
        <w:widowControl/>
        <w:tabs>
          <w:tab w:val="clear" w:pos="720"/>
          <w:tab w:val="left" w:pos="-1440" w:leader="none"/>
        </w:tabs>
        <w:ind w:hanging="5040" w:start="5760" w:end="0"/>
        <w:jc w:val="both"/>
        <w:rPr>
          <w:szCs w:val="20"/>
        </w:rPr>
      </w:pPr>
      <w:r>
        <w:rPr>
          <w:szCs w:val="20"/>
        </w:rPr>
        <w:t>Central Illinois Light Co.</w:t>
        <w:tab/>
        <w:tab/>
        <w:t>Defrees &amp; Fiske</w:t>
      </w:r>
    </w:p>
    <w:p>
      <w:pPr>
        <w:pStyle w:val="Normal"/>
        <w:widowControl/>
        <w:ind w:firstLine="720" w:end="0"/>
        <w:jc w:val="both"/>
        <w:rPr>
          <w:szCs w:val="20"/>
        </w:rPr>
      </w:pPr>
      <w:r>
        <w:rPr>
          <w:szCs w:val="20"/>
        </w:rPr>
        <w:t>300 Liberty Street</w:t>
        <w:tab/>
        <w:tab/>
        <w:tab/>
        <w:tab/>
        <w:t>200 S. Michigan Ave.</w:t>
      </w:r>
    </w:p>
    <w:p>
      <w:pPr>
        <w:pStyle w:val="Normal"/>
        <w:widowControl/>
        <w:ind w:firstLine="720" w:end="0"/>
        <w:jc w:val="both"/>
        <w:rPr>
          <w:szCs w:val="20"/>
        </w:rPr>
      </w:pPr>
      <w:r>
        <w:rPr>
          <w:szCs w:val="20"/>
        </w:rPr>
        <w:t>Peoria, Ill.  61602-1404</w:t>
        <w:tab/>
        <w:tab/>
        <w:tab/>
        <w:t>Suite 1100</w:t>
      </w:r>
    </w:p>
    <w:p>
      <w:pPr>
        <w:pStyle w:val="Normal"/>
        <w:widowControl/>
        <w:tabs>
          <w:tab w:val="clear" w:pos="720"/>
          <w:tab w:val="left" w:pos="-1440" w:leader="none"/>
        </w:tabs>
        <w:ind w:hanging="2880" w:start="3600" w:end="0"/>
        <w:jc w:val="both"/>
        <w:rPr>
          <w:szCs w:val="20"/>
        </w:rPr>
      </w:pPr>
      <w:r>
        <w:rPr>
          <w:szCs w:val="20"/>
        </w:rPr>
        <w:t>(309)  677-5550</w:t>
        <w:tab/>
        <w:tab/>
        <w:tab/>
        <w:tab/>
        <w:t>Chicago, Ill. 60604</w:t>
      </w:r>
    </w:p>
    <w:p>
      <w:pPr>
        <w:pStyle w:val="Normal"/>
        <w:widowControl/>
        <w:ind w:firstLine="5760" w:end="0"/>
        <w:jc w:val="both"/>
        <w:rPr>
          <w:szCs w:val="20"/>
        </w:rPr>
      </w:pPr>
      <w:r>
        <w:rPr>
          <w:szCs w:val="20"/>
        </w:rPr>
        <w:t>(312)  372-4000</w:t>
      </w:r>
    </w:p>
    <w:p>
      <w:pPr>
        <w:pStyle w:val="Normal"/>
        <w:widowControl/>
        <w:jc w:val="both"/>
        <w:rPr>
          <w:szCs w:val="20"/>
        </w:rPr>
      </w:pPr>
      <w:r>
        <w:rPr>
          <w:szCs w:val="20"/>
        </w:rPr>
      </w:r>
    </w:p>
    <w:p>
      <w:pPr>
        <w:pStyle w:val="Normal"/>
        <w:widowControl/>
        <w:spacing w:lineRule="exact" w:line="19"/>
        <w:jc w:val="both"/>
        <w:rPr>
          <w:szCs w:val="20"/>
          <w:lang w:val="en-CA" w:eastAsia="en-CA"/>
        </w:rPr>
      </w:pPr>
      <w:r>
        <w:rPr>
          <w:szCs w:val="20"/>
          <w:lang w:val="en-CA" w:eastAsia="en-CA"/>
        </w:rPr>
        <mc:AlternateContent>
          <mc:Choice Requires="wps">
            <w:drawing>
              <wp:anchor behindDoc="1" distT="0" distB="0" distL="114935" distR="114935" simplePos="0" locked="0" layoutInCell="0" allowOverlap="1" relativeHeight="6">
                <wp:simplePos x="0" y="0"/>
                <wp:positionH relativeFrom="page">
                  <wp:posOffset>1371600</wp:posOffset>
                </wp:positionH>
                <wp:positionV relativeFrom="paragraph">
                  <wp:posOffset>635</wp:posOffset>
                </wp:positionV>
                <wp:extent cx="3200400" cy="12065"/>
                <wp:effectExtent l="0" t="635" r="0" b="0"/>
                <wp:wrapNone/>
                <wp:docPr id="1" name=""/>
                <a:graphic xmlns:a="http://schemas.openxmlformats.org/drawingml/2006/main">
                  <a:graphicData uri="http://schemas.microsoft.com/office/word/2010/wordprocessingShape">
                    <wps:wsp>
                      <wps:cNvSpPr/>
                      <wps:spPr>
                        <a:xfrm>
                          <a:off x="0" y="0"/>
                          <a:ext cx="32004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251.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jc w:val="both"/>
        <w:rPr>
          <w:szCs w:val="20"/>
        </w:rPr>
      </w:pPr>
      <w:r>
        <w:rPr>
          <w:szCs w:val="20"/>
        </w:rPr>
      </w:r>
    </w:p>
    <w:p>
      <w:pPr>
        <w:sectPr>
          <w:footerReference w:type="default" r:id="rId2"/>
          <w:type w:val="nextPage"/>
          <w:pgSz w:w="12240" w:h="15840"/>
          <w:pgMar w:left="2160" w:right="1440" w:gutter="0" w:header="0" w:top="1440" w:footer="1440" w:bottom="1496"/>
          <w:pgNumType w:fmt="decimal"/>
          <w:formProt w:val="false"/>
          <w:textDirection w:val="lrTb"/>
          <w:docGrid w:type="default" w:linePitch="360" w:charSpace="0"/>
        </w:sectPr>
        <w:pStyle w:val="Normal"/>
        <w:widowControl/>
        <w:jc w:val="both"/>
        <w:rPr>
          <w:szCs w:val="20"/>
        </w:rPr>
      </w:pPr>
      <w:r>
        <w:rPr>
          <w:szCs w:val="20"/>
        </w:rPr>
        <w:t>*Designated to be placed on the official service list</w:t>
      </w:r>
    </w:p>
    <w:p>
      <w:pPr>
        <w:pStyle w:val="Normal"/>
        <w:widowControl/>
        <w:jc w:val="both"/>
        <w:rPr>
          <w:szCs w:val="20"/>
        </w:rPr>
      </w:pPr>
      <w:r>
        <w:rPr>
          <w:szCs w:val="20"/>
        </w:rPr>
      </w:r>
    </w:p>
    <w:p>
      <w:pPr>
        <w:pStyle w:val="Level1"/>
        <w:widowControl/>
        <w:numPr>
          <w:ilvl w:val="0"/>
          <w:numId w:val="1"/>
        </w:numPr>
        <w:tabs>
          <w:tab w:val="left" w:pos="1440" w:leader="none"/>
        </w:tabs>
        <w:spacing w:lineRule="auto" w:line="480"/>
        <w:jc w:val="both"/>
        <w:rPr>
          <w:szCs w:val="20"/>
        </w:rPr>
      </w:pPr>
      <w:r>
        <w:rPr>
          <w:szCs w:val="20"/>
        </w:rPr>
        <w:t>CILCO is a public utility engaged in the business of providing electric service to the public in the State of Illinois, CILCO is a customer under the Open Access Tariff (“OATT”) of Commonwealth Edison Company (“ComEd”), and CILCO serves retail customers in ComEd’s service territory.</w:t>
      </w:r>
    </w:p>
    <w:p>
      <w:pPr>
        <w:pStyle w:val="Level1"/>
        <w:widowControl/>
        <w:numPr>
          <w:ilvl w:val="0"/>
          <w:numId w:val="1"/>
        </w:numPr>
        <w:tabs>
          <w:tab w:val="left" w:pos="1440" w:leader="none"/>
        </w:tabs>
        <w:spacing w:lineRule="auto" w:line="480"/>
        <w:jc w:val="both"/>
        <w:rPr>
          <w:szCs w:val="20"/>
        </w:rPr>
      </w:pPr>
      <w:r>
        <w:rPr>
          <w:szCs w:val="20"/>
        </w:rPr>
        <w:t>On October 17, 2001, Dynegy Midwest Generation, Inc. and Dynegy Power Marketing, Inc. (collectively Dynegy) filed  a Complaint in this docket against ComEd, alleging that ComEd is not enforcing the network reserve designation requirements of its OATT.  Dynegy has alleged that it is “inappropriate” for ComEd to allow transmission customers to rely on generation capacity that they do not own, purchase or lease.  Dynegy has also alleged that ComEd’s business practice concerning the designation of network resources allows its customers to secure the highest transmission reservation and curtailment priorities.  Dynegy alleges that the network designations allowed by ComEd results in double counting of capacity, skewing of reserve numbers, and the creation of reliability problems, and deprives Dynegy of capacity payments to which it is entitled.</w:t>
      </w:r>
    </w:p>
    <w:p>
      <w:pPr>
        <w:sectPr>
          <w:footerReference w:type="default" r:id="rId3"/>
          <w:footerReference w:type="first" r:id="rId4"/>
          <w:type w:val="nextPage"/>
          <w:pgSz w:w="12240" w:h="15840"/>
          <w:pgMar w:left="2160" w:right="1440" w:gutter="0" w:header="0" w:top="1440" w:footer="1440" w:bottom="1496"/>
          <w:pgNumType w:fmt="decimal"/>
          <w:formProt w:val="false"/>
          <w:textDirection w:val="lrTb"/>
          <w:docGrid w:type="default" w:linePitch="360" w:charSpace="0"/>
        </w:sectPr>
      </w:pPr>
    </w:p>
    <w:p>
      <w:pPr>
        <w:pStyle w:val="Level1"/>
        <w:widowControl/>
        <w:numPr>
          <w:ilvl w:val="0"/>
          <w:numId w:val="1"/>
        </w:numPr>
        <w:tabs>
          <w:tab w:val="left" w:pos="1440" w:leader="none"/>
        </w:tabs>
        <w:spacing w:lineRule="auto" w:line="480"/>
        <w:jc w:val="both"/>
        <w:rPr>
          <w:szCs w:val="20"/>
        </w:rPr>
      </w:pPr>
      <w:r>
        <w:rPr>
          <w:szCs w:val="20"/>
        </w:rPr>
        <w:t>In Paragraph 7 of its Complaint, Dynegy quotes ComEd’s business practices for resource designation.  In Paragraph 14 of its Complaint, Dynegy specifically references certain designations by CILCO of network resources which Dynegy alleges were improper.  CILCO’s designations of network resources were consistent with the terms of ComEd’s business practices, and CILCO entered into agreements to serve retail customers in ComEd’s service area based on the business practices established by ComEd. CILCO has served many of those retail customers since November, 1999 using what Dynegy described in paragraph 15 as a Firm LD product, which provides firm service and a designation of capacity and a firm transmission path which changes from time to time under the agreement.  The retail customers served by CILCO have received service that has been as reliable, and in some cases more reliable, than service which has been based on power delivered by a specified unit, which may go down with no obligation by the seller to provide back-up service.  CILCO has never had its transmission service to its retail customers in ComEd’s service area interrupted under service provided through a firm LD agreement.  Dynegy’s allegation that this type of service is unreliable has not been borne out in CILCO’s experience.</w:t>
      </w:r>
    </w:p>
    <w:p>
      <w:pPr>
        <w:sectPr>
          <w:type w:val="continuous"/>
          <w:pgSz w:w="12240" w:h="15840"/>
          <w:pgMar w:left="2160" w:right="1440" w:gutter="0" w:header="0" w:top="1440" w:footer="1440" w:bottom="1496"/>
          <w:formProt w:val="false"/>
          <w:textDirection w:val="lrTb"/>
          <w:docGrid w:type="default" w:linePitch="360" w:charSpace="0"/>
        </w:sectPr>
      </w:pPr>
    </w:p>
    <w:p>
      <w:pPr>
        <w:pStyle w:val="Level1"/>
        <w:widowControl/>
        <w:numPr>
          <w:ilvl w:val="0"/>
          <w:numId w:val="1"/>
        </w:numPr>
        <w:tabs>
          <w:tab w:val="left" w:pos="1440" w:leader="none"/>
        </w:tabs>
        <w:spacing w:lineRule="auto" w:line="480"/>
        <w:jc w:val="both"/>
        <w:rPr>
          <w:szCs w:val="20"/>
        </w:rPr>
      </w:pPr>
      <w:r>
        <w:rPr>
          <w:szCs w:val="20"/>
        </w:rPr>
        <w:t xml:space="preserve">The business practices of ComEd have been beneficial to its retail customers who have chosen alternative suppliers like CILCO, because those customers have obtained lower energy costs in Illinois’ deregulated energy market.  If the Commission determines in this case that the business practices used by ComEd are not compliant with their OATT, or the OATT of the applicable RTO, then the Commission will be significantly reducing the flexibility of suppliers to provide service to retail customers.  The Commission should be prepared for a reduction in the amount of activity in Illinois’ deregulated retail markets if the relief requested by Dynegy is granted. </w:t>
      </w:r>
    </w:p>
    <w:p>
      <w:pPr>
        <w:pStyle w:val="Level1"/>
        <w:widowControl/>
        <w:numPr>
          <w:ilvl w:val="0"/>
          <w:numId w:val="1"/>
        </w:numPr>
        <w:tabs>
          <w:tab w:val="left" w:pos="1440" w:leader="none"/>
        </w:tabs>
        <w:spacing w:lineRule="auto" w:line="480"/>
        <w:jc w:val="both"/>
        <w:rPr>
          <w:szCs w:val="20"/>
        </w:rPr>
      </w:pPr>
      <w:r>
        <w:rPr>
          <w:szCs w:val="20"/>
        </w:rPr>
        <w:t xml:space="preserve">The policy implications of Dynegy’s Complaint should be considered by the Commission as part of its review of the  </w:t>
      </w:r>
      <w:r>
        <w:rPr>
          <w:szCs w:val="20"/>
          <w:u w:val="single"/>
        </w:rPr>
        <w:t>pro</w:t>
      </w:r>
      <w:r>
        <w:rPr>
          <w:szCs w:val="20"/>
        </w:rPr>
        <w:t xml:space="preserve"> </w:t>
      </w:r>
      <w:r>
        <w:rPr>
          <w:szCs w:val="20"/>
          <w:u w:val="single"/>
        </w:rPr>
        <w:t>forma</w:t>
      </w:r>
      <w:r>
        <w:rPr>
          <w:szCs w:val="20"/>
        </w:rPr>
        <w:t xml:space="preserve"> OATT.  The Commission is considering changes that will be necessary as RTOs come into existence, and the issues being raised by Dynegy should be considered as the Commission hears from all aspects of the industry and writes new rules for the emerging markets.  In that way, all participants in the new markets will be on an equal footing, and will be able to follow the same rules at the same time.  Because the MISO and the Alliance are expected to begin operation in December, 2001, that would be an opportune time for the Commission to clarify the treatment of the type of agreements discussed by Dynegy in its Complaint.</w:t>
      </w:r>
    </w:p>
    <w:p>
      <w:pPr>
        <w:sectPr>
          <w:type w:val="continuous"/>
          <w:pgSz w:w="12240" w:h="15840"/>
          <w:pgMar w:left="2160" w:right="1440" w:gutter="0" w:header="0" w:top="1440" w:footer="1440" w:bottom="1496"/>
          <w:formProt w:val="false"/>
          <w:textDirection w:val="lrTb"/>
          <w:docGrid w:type="default" w:linePitch="360" w:charSpace="0"/>
        </w:sectPr>
      </w:pPr>
    </w:p>
    <w:p>
      <w:pPr>
        <w:pStyle w:val="Level1"/>
        <w:widowControl/>
        <w:numPr>
          <w:ilvl w:val="0"/>
          <w:numId w:val="1"/>
        </w:numPr>
        <w:tabs>
          <w:tab w:val="left" w:pos="1440" w:leader="none"/>
        </w:tabs>
        <w:spacing w:lineRule="auto" w:line="480"/>
        <w:jc w:val="both"/>
        <w:rPr>
          <w:szCs w:val="20"/>
        </w:rPr>
      </w:pPr>
      <w:r>
        <w:rPr>
          <w:szCs w:val="20"/>
        </w:rPr>
        <w:t>As a customer under the Commonwealth Edison OATT, and as a customer named in the instant Complaint, CILCO will be directly affected by the outcome of this proceeding.  CILCO's participation in this proceeding is in the public interest due not only to its status as a user of the proposed service, but also to its unique obligations as a public utility which currently obtains service from Edison.  No other party can adequately represent these interests before the Commission.</w:t>
      </w:r>
    </w:p>
    <w:p>
      <w:pPr>
        <w:pStyle w:val="Normal"/>
        <w:keepNext w:val="true"/>
        <w:keepLines/>
        <w:widowControl/>
        <w:spacing w:lineRule="auto" w:line="480"/>
        <w:ind w:firstLine="720" w:end="0"/>
        <w:jc w:val="both"/>
        <w:rPr>
          <w:szCs w:val="20"/>
        </w:rPr>
      </w:pPr>
      <w:r>
        <w:rPr>
          <w:szCs w:val="20"/>
        </w:rPr>
        <w:t>WHEREFORE, CILCO requests permission to intervene as a party with full rights to appear and be heard at all stages of these proceedings.</w:t>
      </w:r>
    </w:p>
    <w:p>
      <w:pPr>
        <w:pStyle w:val="Normal"/>
        <w:keepNext w:val="true"/>
        <w:keepLines/>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RESPECTFULLY SUBMITTED,</w:t>
      </w:r>
    </w:p>
    <w:p>
      <w:pPr>
        <w:pStyle w:val="Normal"/>
        <w:keepNext w:val="true"/>
        <w:keepLines/>
        <w:widowControl/>
        <w:jc w:val="both"/>
        <w:rPr>
          <w:szCs w:val="20"/>
        </w:rPr>
      </w:pPr>
      <w:r>
        <w:rPr>
          <w:szCs w:val="20"/>
        </w:rPr>
      </w:r>
    </w:p>
    <w:p>
      <w:pPr>
        <w:pStyle w:val="Normal"/>
        <w:keepNext w:val="true"/>
        <w:keepLines/>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CENTRAL ILLINOIS LIGHT COMPANY</w:t>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jc w:val="both"/>
        <w:rPr>
          <w:szCs w:val="20"/>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u w:val="single"/>
        </w:rPr>
        <w:t xml:space="preserve">                                </w:t>
      </w:r>
    </w:p>
    <w:p>
      <w:pPr>
        <w:pStyle w:val="Normal"/>
        <w:keepNext w:val="true"/>
        <w:keepLines/>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Leslie Recht</w:t>
      </w:r>
    </w:p>
    <w:p>
      <w:pPr>
        <w:pStyle w:val="Normal"/>
        <w:keepNext w:val="true"/>
        <w:keepLines/>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An attorney for</w:t>
      </w:r>
    </w:p>
    <w:p>
      <w:pPr>
        <w:pStyle w:val="Normal"/>
        <w:keepNext w:val="true"/>
        <w:keepLines/>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Central Illinois Light Company</w:t>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t>Dated at Chicago, Illinois</w:t>
      </w:r>
    </w:p>
    <w:p>
      <w:pPr>
        <w:pStyle w:val="Normal"/>
        <w:keepNext w:val="true"/>
        <w:keepLines/>
        <w:widowControl/>
        <w:jc w:val="both"/>
        <w:rPr>
          <w:szCs w:val="20"/>
        </w:rPr>
      </w:pPr>
      <w:r>
        <w:rPr>
          <w:szCs w:val="20"/>
        </w:rPr>
        <w:t>this 25th day of October, 2001</w:t>
      </w:r>
    </w:p>
    <w:p>
      <w:pPr>
        <w:pStyle w:val="Normal"/>
        <w:keepLines/>
        <w:widowControl/>
        <w:jc w:val="both"/>
        <w:rPr>
          <w:szCs w:val="20"/>
        </w:rPr>
      </w:pPr>
      <w:r>
        <w:rPr>
          <w:szCs w:val="20"/>
        </w:rPr>
      </w:r>
    </w:p>
    <w:p>
      <w:pPr>
        <w:pStyle w:val="Normal"/>
        <w:widowControl/>
        <w:jc w:val="both"/>
        <w:rPr>
          <w:szCs w:val="20"/>
        </w:rPr>
      </w:pPr>
      <w:r>
        <w:rPr>
          <w:szCs w:val="20"/>
        </w:rPr>
      </w:r>
    </w:p>
    <w:p>
      <w:pPr>
        <w:pStyle w:val="Normal"/>
        <w:widowControl/>
        <w:jc w:val="both"/>
        <w:rPr>
          <w:szCs w:val="20"/>
        </w:rPr>
      </w:pPr>
      <w:r>
        <w:rPr>
          <w:szCs w:val="20"/>
        </w:rPr>
        <w:t>Leslie Recht</w:t>
      </w:r>
    </w:p>
    <w:p>
      <w:pPr>
        <w:pStyle w:val="Normal"/>
        <w:widowControl/>
        <w:jc w:val="both"/>
        <w:rPr>
          <w:szCs w:val="20"/>
        </w:rPr>
      </w:pPr>
      <w:r>
        <w:rPr>
          <w:szCs w:val="20"/>
        </w:rPr>
        <w:t>Defrees &amp; Fiske</w:t>
      </w:r>
    </w:p>
    <w:p>
      <w:pPr>
        <w:pStyle w:val="Normal"/>
        <w:widowControl/>
        <w:jc w:val="both"/>
        <w:rPr>
          <w:szCs w:val="20"/>
        </w:rPr>
      </w:pPr>
      <w:r>
        <w:rPr>
          <w:szCs w:val="20"/>
        </w:rPr>
        <w:t>200 South Michigan Avenue</w:t>
      </w:r>
    </w:p>
    <w:p>
      <w:pPr>
        <w:pStyle w:val="Normal"/>
        <w:widowControl/>
        <w:jc w:val="both"/>
        <w:rPr>
          <w:szCs w:val="20"/>
        </w:rPr>
      </w:pPr>
      <w:r>
        <w:rPr>
          <w:szCs w:val="20"/>
        </w:rPr>
        <w:t>Suite 1100</w:t>
      </w:r>
    </w:p>
    <w:p>
      <w:pPr>
        <w:pStyle w:val="Normal"/>
        <w:widowControl/>
        <w:jc w:val="both"/>
        <w:rPr>
          <w:szCs w:val="20"/>
        </w:rPr>
      </w:pPr>
      <w:r>
        <w:rPr>
          <w:szCs w:val="20"/>
        </w:rPr>
        <w:t>Chicago, Illinois  60604</w:t>
      </w:r>
    </w:p>
    <w:p>
      <w:pPr>
        <w:pStyle w:val="Normal"/>
        <w:widowControl/>
        <w:jc w:val="both"/>
        <w:rPr>
          <w:szCs w:val="20"/>
        </w:rPr>
      </w:pPr>
      <w:r>
        <w:rPr>
          <w:szCs w:val="20"/>
        </w:rPr>
        <w:t>(312)  372-4000</w:t>
      </w:r>
    </w:p>
    <w:p>
      <w:pPr>
        <w:sectPr>
          <w:type w:val="continuous"/>
          <w:pgSz w:w="12240" w:h="15840"/>
          <w:pgMar w:left="2160" w:right="1440" w:gutter="0" w:header="0" w:top="1440" w:footer="1440" w:bottom="1496"/>
          <w:formProt w:val="false"/>
          <w:textDirection w:val="lrTb"/>
          <w:docGrid w:type="default" w:linePitch="360" w:charSpace="0"/>
        </w:sectPr>
      </w:pPr>
    </w:p>
    <w:p>
      <w:pPr>
        <w:pStyle w:val="Normal"/>
        <w:widowControl/>
        <w:tabs>
          <w:tab w:val="clear" w:pos="720"/>
          <w:tab w:val="center" w:pos="4320" w:leader="none"/>
        </w:tabs>
        <w:jc w:val="both"/>
        <w:rPr>
          <w:szCs w:val="20"/>
        </w:rPr>
      </w:pPr>
      <w:r>
        <w:rPr>
          <w:szCs w:val="20"/>
        </w:rPr>
        <w:tab/>
      </w:r>
      <w:r>
        <w:rPr>
          <w:b/>
          <w:bCs/>
          <w:szCs w:val="20"/>
          <w:u w:val="single"/>
        </w:rPr>
        <w:t>CERTIFICATE OF SERVICE</w:t>
      </w:r>
    </w:p>
    <w:p>
      <w:pPr>
        <w:pStyle w:val="Normal"/>
        <w:widowControl/>
        <w:jc w:val="both"/>
        <w:rPr>
          <w:szCs w:val="20"/>
        </w:rPr>
      </w:pPr>
      <w:r>
        <w:rPr>
          <w:szCs w:val="20"/>
        </w:rPr>
      </w:r>
    </w:p>
    <w:p>
      <w:pPr>
        <w:pStyle w:val="Normal"/>
        <w:widowControl/>
        <w:jc w:val="both"/>
        <w:rPr>
          <w:szCs w:val="20"/>
        </w:rPr>
      </w:pPr>
      <w:r>
        <w:rPr>
          <w:szCs w:val="20"/>
        </w:rPr>
      </w:r>
    </w:p>
    <w:p>
      <w:pPr>
        <w:pStyle w:val="Normal"/>
        <w:widowControl/>
        <w:spacing w:lineRule="auto" w:line="480"/>
        <w:ind w:firstLine="720" w:end="0"/>
        <w:jc w:val="both"/>
        <w:rPr>
          <w:szCs w:val="20"/>
        </w:rPr>
      </w:pPr>
      <w:r>
        <w:rPr>
          <w:szCs w:val="20"/>
        </w:rPr>
        <w:t>Upon information and belief, no Service List is presently available in this proceeding, therefore, I hereby certify that service has been made upon those persons CILCO believes to be parties with interest in this proceeding, namely:</w:t>
      </w:r>
    </w:p>
    <w:p>
      <w:pPr>
        <w:pStyle w:val="Normal"/>
        <w:widowControl/>
        <w:ind w:firstLine="1440" w:end="0"/>
        <w:jc w:val="both"/>
        <w:rPr>
          <w:szCs w:val="20"/>
        </w:rPr>
      </w:pPr>
      <w:r>
        <w:rPr>
          <w:szCs w:val="20"/>
        </w:rPr>
        <w:t>Steven T. Naumann</w:t>
      </w:r>
    </w:p>
    <w:p>
      <w:pPr>
        <w:pStyle w:val="Normal"/>
        <w:widowControl/>
        <w:ind w:firstLine="1440" w:end="0"/>
        <w:jc w:val="both"/>
        <w:rPr>
          <w:szCs w:val="20"/>
        </w:rPr>
      </w:pPr>
      <w:r>
        <w:rPr>
          <w:szCs w:val="20"/>
        </w:rPr>
        <w:t>Transmission Services Vice President</w:t>
      </w:r>
    </w:p>
    <w:p>
      <w:pPr>
        <w:pStyle w:val="Normal"/>
        <w:widowControl/>
        <w:ind w:firstLine="1440" w:end="0"/>
        <w:jc w:val="both"/>
        <w:rPr>
          <w:szCs w:val="20"/>
        </w:rPr>
      </w:pPr>
      <w:r>
        <w:rPr>
          <w:szCs w:val="20"/>
        </w:rPr>
        <w:t>Commonwealth Edison company</w:t>
      </w:r>
    </w:p>
    <w:p>
      <w:pPr>
        <w:pStyle w:val="Normal"/>
        <w:widowControl/>
        <w:ind w:firstLine="1440" w:end="0"/>
        <w:jc w:val="both"/>
        <w:rPr/>
      </w:pPr>
      <w:r>
        <w:rPr>
          <w:szCs w:val="20"/>
        </w:rPr>
        <w:t>10 south Dearborn Street, 35</w:t>
      </w:r>
      <w:r>
        <w:rPr>
          <w:szCs w:val="20"/>
          <w:vertAlign w:val="superscript"/>
        </w:rPr>
        <w:t>th</w:t>
      </w:r>
      <w:r>
        <w:rPr>
          <w:szCs w:val="20"/>
        </w:rPr>
        <w:t xml:space="preserve"> Floor</w:t>
      </w:r>
    </w:p>
    <w:p>
      <w:pPr>
        <w:pStyle w:val="Normal"/>
        <w:widowControl/>
        <w:ind w:firstLine="1440" w:end="0"/>
        <w:jc w:val="both"/>
        <w:rPr>
          <w:szCs w:val="20"/>
        </w:rPr>
      </w:pPr>
      <w:r>
        <w:rPr>
          <w:szCs w:val="20"/>
        </w:rPr>
        <w:t>Chicago, IL 60602</w:t>
      </w:r>
    </w:p>
    <w:p>
      <w:pPr>
        <w:pStyle w:val="Normal"/>
        <w:widowControl/>
        <w:jc w:val="both"/>
        <w:rPr>
          <w:szCs w:val="20"/>
        </w:rPr>
      </w:pPr>
      <w:r>
        <w:rPr>
          <w:szCs w:val="20"/>
        </w:rPr>
      </w:r>
    </w:p>
    <w:p>
      <w:pPr>
        <w:pStyle w:val="Normal"/>
        <w:widowControl/>
        <w:ind w:firstLine="1440" w:end="0"/>
        <w:jc w:val="both"/>
        <w:rPr>
          <w:szCs w:val="20"/>
        </w:rPr>
      </w:pPr>
      <w:r>
        <w:rPr>
          <w:szCs w:val="20"/>
        </w:rPr>
        <w:t>Peter J. Thornton</w:t>
      </w:r>
    </w:p>
    <w:p>
      <w:pPr>
        <w:pStyle w:val="Normal"/>
        <w:widowControl/>
        <w:ind w:firstLine="1440" w:end="0"/>
        <w:jc w:val="both"/>
        <w:rPr>
          <w:szCs w:val="20"/>
        </w:rPr>
      </w:pPr>
      <w:r>
        <w:rPr>
          <w:szCs w:val="20"/>
        </w:rPr>
        <w:t>Assistant General Counsel</w:t>
      </w:r>
    </w:p>
    <w:p>
      <w:pPr>
        <w:pStyle w:val="Normal"/>
        <w:widowControl/>
        <w:ind w:firstLine="1440" w:end="0"/>
        <w:jc w:val="both"/>
        <w:rPr>
          <w:szCs w:val="20"/>
        </w:rPr>
      </w:pPr>
      <w:r>
        <w:rPr>
          <w:szCs w:val="20"/>
        </w:rPr>
        <w:t>Exelon Business Services</w:t>
      </w:r>
    </w:p>
    <w:p>
      <w:pPr>
        <w:pStyle w:val="Normal"/>
        <w:widowControl/>
        <w:ind w:firstLine="1440" w:end="0"/>
        <w:jc w:val="both"/>
        <w:rPr>
          <w:szCs w:val="20"/>
        </w:rPr>
      </w:pPr>
      <w:r>
        <w:rPr>
          <w:szCs w:val="20"/>
        </w:rPr>
        <w:t>P.O. Box 805379</w:t>
      </w:r>
    </w:p>
    <w:p>
      <w:pPr>
        <w:pStyle w:val="Normal"/>
        <w:widowControl/>
        <w:ind w:firstLine="1440" w:end="0"/>
        <w:jc w:val="both"/>
        <w:rPr>
          <w:szCs w:val="20"/>
        </w:rPr>
      </w:pPr>
      <w:r>
        <w:rPr>
          <w:szCs w:val="20"/>
        </w:rPr>
        <w:t>Chicago, IL 60680-5379</w:t>
      </w:r>
    </w:p>
    <w:p>
      <w:pPr>
        <w:pStyle w:val="Normal"/>
        <w:widowControl/>
        <w:jc w:val="both"/>
        <w:rPr>
          <w:szCs w:val="20"/>
        </w:rPr>
      </w:pPr>
      <w:r>
        <w:rPr>
          <w:szCs w:val="20"/>
        </w:rPr>
      </w:r>
    </w:p>
    <w:p>
      <w:pPr>
        <w:pStyle w:val="Normal"/>
        <w:widowControl/>
        <w:ind w:firstLine="1440" w:end="0"/>
        <w:jc w:val="both"/>
        <w:rPr>
          <w:szCs w:val="20"/>
        </w:rPr>
      </w:pPr>
      <w:r>
        <w:rPr>
          <w:szCs w:val="20"/>
        </w:rPr>
        <w:t>Betsy R. Carr</w:t>
      </w:r>
    </w:p>
    <w:p>
      <w:pPr>
        <w:pStyle w:val="Normal"/>
        <w:widowControl/>
        <w:ind w:firstLine="1440" w:end="0"/>
        <w:jc w:val="both"/>
        <w:rPr>
          <w:szCs w:val="20"/>
        </w:rPr>
      </w:pPr>
      <w:r>
        <w:rPr>
          <w:szCs w:val="20"/>
        </w:rPr>
        <w:t>Dynegy Midwest Generation, Inc.</w:t>
      </w:r>
    </w:p>
    <w:p>
      <w:pPr>
        <w:pStyle w:val="Normal"/>
        <w:widowControl/>
        <w:ind w:firstLine="1440" w:end="0"/>
        <w:jc w:val="both"/>
        <w:rPr>
          <w:szCs w:val="20"/>
        </w:rPr>
      </w:pPr>
      <w:r>
        <w:rPr>
          <w:szCs w:val="20"/>
        </w:rPr>
        <w:t>Dynegy Power Marketing, Inc.</w:t>
      </w:r>
    </w:p>
    <w:p>
      <w:pPr>
        <w:pStyle w:val="Normal"/>
        <w:widowControl/>
        <w:ind w:firstLine="1440" w:end="0"/>
        <w:jc w:val="both"/>
        <w:rPr>
          <w:szCs w:val="20"/>
        </w:rPr>
      </w:pPr>
      <w:r>
        <w:rPr>
          <w:szCs w:val="20"/>
        </w:rPr>
        <w:t>1000 Louisiana</w:t>
      </w:r>
    </w:p>
    <w:p>
      <w:pPr>
        <w:pStyle w:val="Normal"/>
        <w:widowControl/>
        <w:ind w:firstLine="1440" w:end="0"/>
        <w:jc w:val="both"/>
        <w:rPr>
          <w:szCs w:val="20"/>
        </w:rPr>
      </w:pPr>
      <w:r>
        <w:rPr>
          <w:szCs w:val="20"/>
        </w:rPr>
        <w:t>Suite 5800</w:t>
      </w:r>
    </w:p>
    <w:p>
      <w:pPr>
        <w:pStyle w:val="Normal"/>
        <w:widowControl/>
        <w:ind w:firstLine="1440" w:end="0"/>
        <w:jc w:val="both"/>
        <w:rPr>
          <w:szCs w:val="20"/>
        </w:rPr>
      </w:pPr>
      <w:r>
        <w:rPr>
          <w:szCs w:val="20"/>
        </w:rPr>
        <w:t>Houston, TX 77002-5050</w:t>
      </w:r>
    </w:p>
    <w:p>
      <w:pPr>
        <w:pStyle w:val="Normal"/>
        <w:widowControl/>
        <w:jc w:val="both"/>
        <w:rPr>
          <w:szCs w:val="20"/>
        </w:rPr>
      </w:pPr>
      <w:r>
        <w:rPr>
          <w:szCs w:val="20"/>
        </w:rPr>
      </w:r>
    </w:p>
    <w:p>
      <w:pPr>
        <w:pStyle w:val="Normal"/>
        <w:widowControl/>
        <w:ind w:firstLine="1440" w:end="0"/>
        <w:jc w:val="both"/>
        <w:rPr>
          <w:szCs w:val="20"/>
        </w:rPr>
      </w:pPr>
      <w:r>
        <w:rPr>
          <w:szCs w:val="20"/>
        </w:rPr>
        <w:t>Daniel A. King</w:t>
      </w:r>
    </w:p>
    <w:p>
      <w:pPr>
        <w:pStyle w:val="Normal"/>
        <w:widowControl/>
        <w:ind w:firstLine="1440" w:end="0"/>
        <w:jc w:val="both"/>
        <w:rPr>
          <w:szCs w:val="20"/>
        </w:rPr>
      </w:pPr>
      <w:r>
        <w:rPr>
          <w:szCs w:val="20"/>
        </w:rPr>
        <w:t>Director &amp; Regulatory Counsel</w:t>
      </w:r>
    </w:p>
    <w:p>
      <w:pPr>
        <w:pStyle w:val="Normal"/>
        <w:widowControl/>
        <w:ind w:firstLine="1440" w:end="0"/>
        <w:jc w:val="both"/>
        <w:rPr>
          <w:szCs w:val="20"/>
        </w:rPr>
      </w:pPr>
      <w:r>
        <w:rPr>
          <w:szCs w:val="20"/>
        </w:rPr>
        <w:t>Dynegy, Inc.</w:t>
      </w:r>
    </w:p>
    <w:p>
      <w:pPr>
        <w:pStyle w:val="Normal"/>
        <w:widowControl/>
        <w:ind w:firstLine="1440" w:end="0"/>
        <w:jc w:val="both"/>
        <w:rPr>
          <w:szCs w:val="20"/>
        </w:rPr>
      </w:pPr>
      <w:r>
        <w:rPr>
          <w:szCs w:val="20"/>
        </w:rPr>
        <w:t>1500 King Street, N.W.</w:t>
      </w:r>
    </w:p>
    <w:p>
      <w:pPr>
        <w:pStyle w:val="Normal"/>
        <w:widowControl/>
        <w:ind w:firstLine="1440" w:end="0"/>
        <w:jc w:val="both"/>
        <w:rPr>
          <w:szCs w:val="20"/>
        </w:rPr>
      </w:pPr>
      <w:r>
        <w:rPr>
          <w:szCs w:val="20"/>
        </w:rPr>
        <w:t>Suite 400</w:t>
      </w:r>
    </w:p>
    <w:p>
      <w:pPr>
        <w:pStyle w:val="Normal"/>
        <w:widowControl/>
        <w:ind w:firstLine="1440" w:end="0"/>
        <w:jc w:val="both"/>
        <w:rPr>
          <w:szCs w:val="20"/>
        </w:rPr>
      </w:pPr>
      <w:r>
        <w:rPr>
          <w:szCs w:val="20"/>
        </w:rPr>
        <w:t>Washington, D.C.  20005</w:t>
      </w:r>
    </w:p>
    <w:p>
      <w:pPr>
        <w:pStyle w:val="Normal"/>
        <w:widowControl/>
        <w:jc w:val="both"/>
        <w:rPr>
          <w:szCs w:val="20"/>
        </w:rPr>
      </w:pPr>
      <w:r>
        <w:rPr>
          <w:szCs w:val="20"/>
        </w:rPr>
      </w:r>
    </w:p>
    <w:p>
      <w:pPr>
        <w:pStyle w:val="Normal"/>
        <w:widowControl/>
        <w:ind w:firstLine="720" w:end="0"/>
        <w:jc w:val="both"/>
        <w:rPr/>
      </w:pPr>
      <w:r>
        <w:rPr>
          <w:szCs w:val="20"/>
        </w:rPr>
        <w:t>Dated at Chicago, Illinois this 25</w:t>
      </w:r>
      <w:r>
        <w:rPr>
          <w:szCs w:val="20"/>
          <w:vertAlign w:val="superscript"/>
        </w:rPr>
        <w:t>th</w:t>
      </w:r>
      <w:r>
        <w:rPr>
          <w:szCs w:val="20"/>
        </w:rPr>
        <w:t xml:space="preserve"> day of October, 2001.</w:t>
      </w:r>
    </w:p>
    <w:p>
      <w:pPr>
        <w:pStyle w:val="Normal"/>
        <w:widowControl/>
        <w:jc w:val="both"/>
        <w:rPr>
          <w:szCs w:val="20"/>
        </w:rPr>
      </w:pPr>
      <w:r>
        <w:rPr>
          <w:szCs w:val="20"/>
        </w:rPr>
      </w:r>
    </w:p>
    <w:p>
      <w:pPr>
        <w:pStyle w:val="Normal"/>
        <w:widowControl/>
        <w:jc w:val="both"/>
        <w:rPr>
          <w:szCs w:val="20"/>
        </w:rPr>
      </w:pPr>
      <w:r>
        <w:rPr>
          <w:szCs w:val="20"/>
        </w:rPr>
      </w:r>
    </w:p>
    <w:p>
      <w:pPr>
        <w:pStyle w:val="Normal"/>
        <w:widowControl/>
        <w:jc w:val="both"/>
        <w:rPr>
          <w:szCs w:val="20"/>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u w:val="single"/>
        </w:rPr>
        <w:t xml:space="preserve">                               </w:t>
      </w:r>
    </w:p>
    <w:p>
      <w:pPr>
        <w:pStyle w:val="Normal"/>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Leslie Recht</w:t>
      </w:r>
    </w:p>
    <w:p>
      <w:pPr>
        <w:pStyle w:val="Normal"/>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An attorney for</w:t>
      </w:r>
    </w:p>
    <w:p>
      <w:pPr>
        <w:pStyle w:val="Normal"/>
        <w:widowControl/>
        <w:jc w:val="both"/>
        <w:rPr/>
      </w:pPr>
      <w:r>
        <w:fldChar w:fldCharType="begin"/>
      </w:r>
      <w:r>
        <w:rPr>
          <w:szCs w:val="20"/>
        </w:rPr>
        <w:instrText xml:space="preserve">ADVANCE \x180</w:instrText>
      </w:r>
      <w:r>
        <w:rPr>
          <w:szCs w:val="20"/>
        </w:rPr>
      </w:r>
      <w:r>
        <w:rPr>
          <w:szCs w:val="20"/>
        </w:rPr>
        <w:fldChar w:fldCharType="separate"/>
      </w:r>
      <w:r>
        <w:rPr>
          <w:szCs w:val="20"/>
        </w:rPr>
      </w:r>
      <w:r>
        <w:rPr>
          <w:szCs w:val="20"/>
        </w:rPr>
      </w:r>
      <w:r>
        <w:rPr>
          <w:szCs w:val="20"/>
        </w:rPr>
        <w:fldChar w:fldCharType="end"/>
      </w:r>
      <w:r>
        <w:rPr>
          <w:szCs w:val="20"/>
        </w:rPr>
        <w:t>Central Illinois Light Company</w:t>
      </w:r>
    </w:p>
    <w:sectPr>
      <w:footerReference w:type="default" r:id="rId5"/>
      <w:type w:val="nextPage"/>
      <w:pgSz w:w="12240" w:h="15840"/>
      <w:pgMar w:left="216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0"/>
      <w:jc w:val="both"/>
      <w:rPr>
        <w:szCs w:val="20"/>
      </w:rPr>
    </w:pPr>
    <w:r>
      <w:rPr>
        <w:szCs w:val="20"/>
      </w:rPr>
    </w:r>
  </w:p>
  <w:p>
    <w:pPr>
      <w:pStyle w:val="Normal"/>
      <w:ind w:start="-720" w:end="0"/>
      <w:jc w:val="both"/>
      <w:rPr>
        <w:sz w:val="12"/>
        <w:szCs w:val="12"/>
      </w:rPr>
    </w:pPr>
    <w:r>
      <w:rPr>
        <w:sz w:val="12"/>
        <w:szCs w:val="12"/>
      </w:rPr>
      <w:t>182750.1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0"/>
      <w:jc w:val="both"/>
      <w:rPr>
        <w:szCs w:val="20"/>
      </w:rPr>
    </w:pPr>
    <w:r>
      <w:rPr>
        <w:szCs w:val="20"/>
      </w:rPr>
    </w:r>
  </w:p>
  <w:p>
    <w:pPr>
      <w:pStyle w:val="Normal"/>
      <w:ind w:start="-720" w:end="0"/>
      <w:jc w:val="both"/>
      <w:rPr>
        <w:sz w:val="12"/>
        <w:szCs w:val="12"/>
      </w:rPr>
    </w:pPr>
    <w:r>
      <w:rPr>
        <w:sz w:val="12"/>
        <w:szCs w:val="12"/>
      </w:rPr>
      <w:t>182750.1</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7035" cy="173990"/>
              <wp:effectExtent l="0" t="0" r="0" b="0"/>
              <wp:wrapTopAndBottom/>
              <wp:docPr id="2" name="Frame1"/>
              <a:graphic xmlns:a="http://schemas.openxmlformats.org/drawingml/2006/main">
                <a:graphicData uri="http://schemas.microsoft.com/office/word/2010/wordprocessingShape">
                  <wps:wsp>
                    <wps:cNvSpPr txBox="1"/>
                    <wps:spPr>
                      <a:xfrm>
                        <a:off x="0" y="0"/>
                        <a:ext cx="5487035" cy="173990"/>
                      </a:xfrm>
                      <a:prstGeom prst="rect"/>
                      <a:solidFill>
                        <a:srgbClr val="FFFFFF">
                          <a:alpha val="0"/>
                        </a:srgbClr>
                      </a:solidFill>
                    </wps:spPr>
                    <wps:txbx>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32.05pt;height:13.7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0"/>
      <w:jc w:val="both"/>
      <w:rPr>
        <w:szCs w:val="20"/>
      </w:rPr>
    </w:pPr>
    <w:r>
      <w:rPr>
        <w:szCs w:val="20"/>
      </w:rPr>
    </w:r>
  </w:p>
  <w:p>
    <w:pPr>
      <w:pStyle w:val="Normal"/>
      <w:ind w:start="-720" w:end="0"/>
      <w:jc w:val="both"/>
      <w:rPr>
        <w:sz w:val="12"/>
        <w:szCs w:val="12"/>
      </w:rPr>
    </w:pPr>
    <w:r>
      <w:rPr>
        <w:sz w:val="12"/>
        <w:szCs w:val="12"/>
      </w:rPr>
      <w:t>182750.1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szCs w:val="24"/>
        <w:rFonts w:ascii="Courier;Courier New" w:hAnsi="Courier;Courier New"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0"/>
      <w:szCs w:val="24"/>
      <w:lang w:val="en-US" w:bidi="ar-SA" w:eastAsia="zh-CN"/>
    </w:rPr>
  </w:style>
  <w:style w:type="character" w:styleId="WW8Num1z0">
    <w:name w:val="WW8Num1z0"/>
    <w:qFormat/>
    <w:rPr>
      <w:rFonts w:ascii="Courier;Courier New" w:hAnsi="Courier;Courier New" w:cs="Times New Roman"/>
      <w:sz w:val="24"/>
      <w:szCs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firstLine="720" w:start="0" w:end="0"/>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2001-10-29T14:11:00Z</dcterms:created>
  <dc:creator>Stan and Jean Ogden</dc:creator>
  <dc:description/>
  <dc:language>en-CA</dc:language>
  <cp:lastModifiedBy>cnicola</cp:lastModifiedBy>
  <dcterms:modified xsi:type="dcterms:W3CDTF">2001-10-29T14:11:00Z</dcterms:modified>
  <cp:revision>2</cp:revision>
  <dc:subject/>
  <dc:title>4230-0134</dc:title>
</cp:coreProperties>
</file>