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PUBLIC UTILITIES COMMISSION</w:t>
      </w:r>
    </w:p>
    <w:p>
      <w:pPr>
        <w:pStyle w:val="Subtitle"/>
        <w:rPr/>
      </w:pPr>
      <w:r>
        <w:rPr/>
        <w:t>OF THE STATE OF CALIFORNIA</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tc>
        <w:tc>
          <w:tcPr>
            <w:tcW w:w="3798" w:type="dxa"/>
            <w:tcBorders>
              <w:start w:val="single" w:sz="4" w:space="0" w:color="000000"/>
            </w:tcBorders>
          </w:tcPr>
          <w:p>
            <w:pPr>
              <w:pStyle w:val="Normal"/>
              <w:snapToGrid w:val="false"/>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t>I.99-07-003</w:t>
            </w:r>
          </w:p>
        </w:tc>
      </w:tr>
    </w:tbl>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Heading"/>
        <w:rPr/>
      </w:pPr>
      <w:r>
        <w:rPr/>
        <w:t xml:space="preserve">COMMENTS OF CHEVRON U.S.A. INC. </w:t>
      </w:r>
    </w:p>
    <w:p>
      <w:pPr>
        <w:pStyle w:val="Heading"/>
        <w:rPr/>
      </w:pPr>
      <w:r>
        <w:rPr/>
        <w:t>ON THE PROPOSED DECISION OF COMMISSIONER BILAS</w:t>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r>
    </w:p>
    <w:p>
      <w:pPr>
        <w:pStyle w:val="Normal"/>
        <w:jc w:val="end"/>
        <w:rPr>
          <w:rFonts w:ascii="Arial;Arial" w:hAnsi="Arial;Arial" w:cs="Arial;Arial"/>
        </w:rPr>
      </w:pPr>
      <w:r>
        <w:rPr>
          <w:rFonts w:cs="Arial;Arial" w:ascii="Arial;Arial" w:hAnsi="Arial;Arial"/>
        </w:rPr>
        <w:t>Evelyn Kahl Elsesser</w:t>
      </w:r>
    </w:p>
    <w:p>
      <w:pPr>
        <w:pStyle w:val="Normal"/>
        <w:jc w:val="end"/>
        <w:rPr>
          <w:rFonts w:ascii="Arial;Arial" w:hAnsi="Arial;Arial" w:cs="Arial;Arial"/>
        </w:rPr>
      </w:pPr>
      <w:r>
        <w:rPr>
          <w:rFonts w:cs="Arial;Arial" w:ascii="Arial;Arial" w:hAnsi="Arial;Arial"/>
        </w:rPr>
        <w:t>Christine H. Jun</w:t>
      </w:r>
    </w:p>
    <w:p>
      <w:pPr>
        <w:pStyle w:val="Normal"/>
        <w:jc w:val="end"/>
        <w:rPr>
          <w:rFonts w:ascii="Arial;Arial" w:hAnsi="Arial;Arial" w:cs="Arial;Arial"/>
        </w:rPr>
      </w:pPr>
      <w:r>
        <w:rPr>
          <w:rFonts w:cs="Arial;Arial" w:ascii="Arial;Arial" w:hAnsi="Arial;Arial"/>
        </w:rPr>
        <w:t>Alcantar &amp; Elsesser LLP</w:t>
      </w:r>
    </w:p>
    <w:p>
      <w:pPr>
        <w:pStyle w:val="Normal"/>
        <w:jc w:val="end"/>
        <w:rPr>
          <w:rFonts w:ascii="Arial;Arial" w:hAnsi="Arial;Arial" w:cs="Arial;Arial"/>
        </w:rPr>
      </w:pPr>
      <w:r>
        <w:rPr>
          <w:rFonts w:cs="Arial;Arial" w:ascii="Arial;Arial" w:hAnsi="Arial;Arial"/>
        </w:rPr>
        <w:t>One Embarcadero Center, Suite 2420</w:t>
      </w:r>
    </w:p>
    <w:p>
      <w:pPr>
        <w:pStyle w:val="Normal"/>
        <w:jc w:val="end"/>
        <w:rPr>
          <w:rFonts w:ascii="Arial;Arial" w:hAnsi="Arial;Arial" w:cs="Arial;Arial"/>
        </w:rPr>
      </w:pPr>
      <w:r>
        <w:rPr>
          <w:rFonts w:cs="Arial;Arial" w:ascii="Arial;Arial" w:hAnsi="Arial;Arial"/>
        </w:rPr>
        <w:t>San Francisco California  94111</w:t>
      </w:r>
    </w:p>
    <w:p>
      <w:pPr>
        <w:pStyle w:val="Normal"/>
        <w:jc w:val="end"/>
        <w:rPr>
          <w:rFonts w:ascii="Arial;Arial" w:hAnsi="Arial;Arial" w:cs="Arial;Arial"/>
        </w:rPr>
      </w:pPr>
      <w:r>
        <w:rPr>
          <w:rFonts w:cs="Arial;Arial" w:ascii="Arial;Arial" w:hAnsi="Arial;Arial"/>
        </w:rPr>
        <w:t>(415) 421-4143 – office</w:t>
      </w:r>
    </w:p>
    <w:p>
      <w:pPr>
        <w:pStyle w:val="Normal"/>
        <w:jc w:val="end"/>
        <w:rPr>
          <w:rFonts w:ascii="Arial;Arial" w:hAnsi="Arial;Arial" w:cs="Arial;Arial"/>
        </w:rPr>
      </w:pPr>
      <w:r>
        <w:rPr>
          <w:rFonts w:cs="Arial;Arial" w:ascii="Arial;Arial" w:hAnsi="Arial;Arial"/>
        </w:rPr>
        <w:t>(415) 989-1263 – fax</w:t>
      </w:r>
    </w:p>
    <w:p>
      <w:pPr>
        <w:pStyle w:val="Normal"/>
        <w:jc w:val="end"/>
        <w:rPr/>
      </w:pPr>
      <w:hyperlink r:id="rId2">
        <w:r>
          <w:rPr>
            <w:rStyle w:val="Hyperlink"/>
            <w:rFonts w:cs="Arial;Arial" w:ascii="Arial;Arial" w:hAnsi="Arial;Arial"/>
          </w:rPr>
          <w:t>eke@aelaw.com</w:t>
        </w:r>
      </w:hyperlink>
      <w:r>
        <w:rPr>
          <w:rFonts w:cs="Arial;Arial" w:ascii="Arial;Arial" w:hAnsi="Arial;Arial"/>
        </w:rPr>
        <w:t xml:space="preserve"> </w:t>
      </w:r>
    </w:p>
    <w:p>
      <w:pPr>
        <w:pStyle w:val="Normal"/>
        <w:jc w:val="end"/>
        <w:rPr>
          <w:rFonts w:ascii="Arial;Arial" w:hAnsi="Arial;Arial" w:cs="Arial;Arial"/>
        </w:rPr>
      </w:pPr>
      <w:hyperlink r:id="rId3">
        <w:r>
          <w:rPr>
            <w:rStyle w:val="Hyperlink"/>
            <w:rFonts w:cs="Arial;Arial" w:ascii="Arial;Arial" w:hAnsi="Arial;Arial"/>
          </w:rPr>
          <w:t>chj@aelaw.com</w:t>
        </w:r>
      </w:hyperlink>
    </w:p>
    <w:p>
      <w:pPr>
        <w:pStyle w:val="Normal"/>
        <w:tabs>
          <w:tab w:val="clear" w:pos="720"/>
          <w:tab w:val="left" w:pos="3960" w:leader="none"/>
          <w:tab w:val="right" w:pos="8460" w:leader="none"/>
        </w:tabs>
        <w:jc w:val="both"/>
        <w:rPr>
          <w:rFonts w:ascii="Arial;Arial" w:hAnsi="Arial;Arial" w:cs="Arial;Arial"/>
        </w:rPr>
      </w:pPr>
      <w:r>
        <w:rPr>
          <w:rFonts w:cs="Arial;Arial" w:ascii="Arial;Arial" w:hAnsi="Arial;Arial"/>
        </w:rPr>
      </w:r>
    </w:p>
    <w:p>
      <w:pPr>
        <w:pStyle w:val="Normal"/>
        <w:tabs>
          <w:tab w:val="clear" w:pos="720"/>
          <w:tab w:val="left" w:pos="3960" w:leader="none"/>
          <w:tab w:val="right" w:pos="9000" w:leader="none"/>
        </w:tabs>
        <w:ind w:start="4140" w:end="0"/>
        <w:jc w:val="end"/>
        <w:rPr>
          <w:rFonts w:ascii="Arial;Arial" w:hAnsi="Arial;Arial" w:cs="Arial;Arial"/>
        </w:rPr>
      </w:pPr>
      <w:r>
        <w:rPr>
          <w:rFonts w:cs="Arial;Arial" w:ascii="Arial;Arial" w:hAnsi="Arial;Arial"/>
        </w:rPr>
        <w:t>Attorneys for Chevron U.S.A. Inc.</w:t>
      </w:r>
    </w:p>
    <w:p>
      <w:pPr>
        <w:pStyle w:val="Normal"/>
        <w:tabs>
          <w:tab w:val="clear" w:pos="720"/>
          <w:tab w:val="left" w:pos="3960" w:leader="none"/>
          <w:tab w:val="right" w:pos="9000" w:leader="none"/>
        </w:tabs>
        <w:ind w:start="4140" w:end="0"/>
        <w:jc w:val="end"/>
        <w:rPr>
          <w:rFonts w:ascii="Arial;Arial" w:hAnsi="Arial;Arial" w:cs="Arial;Arial"/>
        </w:rPr>
      </w:pPr>
      <w:r>
        <w:rPr>
          <w:rFonts w:cs="Arial;Arial" w:ascii="Arial;Arial" w:hAnsi="Arial;Arial"/>
        </w:rPr>
      </w:r>
    </w:p>
    <w:p>
      <w:pPr>
        <w:pStyle w:val="Normal"/>
        <w:tabs>
          <w:tab w:val="clear" w:pos="720"/>
          <w:tab w:val="left" w:pos="3960" w:leader="none"/>
          <w:tab w:val="right" w:pos="9000" w:leader="none"/>
        </w:tabs>
        <w:ind w:hanging="4140" w:start="4140" w:end="0"/>
        <w:rPr>
          <w:rFonts w:ascii="Arial;Arial" w:hAnsi="Arial;Arial" w:cs="Arial;Arial"/>
        </w:rPr>
      </w:pPr>
      <w:r>
        <w:rPr>
          <w:rFonts w:cs="Arial;Arial" w:ascii="Arial;Arial" w:hAnsi="Arial;Arial"/>
        </w:rPr>
      </w:r>
    </w:p>
    <w:p>
      <w:pPr>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pStyle w:val="Normal"/>
        <w:tabs>
          <w:tab w:val="clear" w:pos="720"/>
          <w:tab w:val="left" w:pos="3960" w:leader="none"/>
          <w:tab w:val="right" w:pos="9000" w:leader="none"/>
        </w:tabs>
        <w:ind w:hanging="4140" w:start="4140" w:end="0"/>
        <w:rPr>
          <w:rFonts w:ascii="Arial;Arial" w:hAnsi="Arial;Arial" w:cs="Arial;Arial"/>
        </w:rPr>
      </w:pPr>
      <w:r>
        <w:rPr>
          <w:rFonts w:cs="Arial;Arial" w:ascii="Arial;Arial" w:hAnsi="Arial;Arial"/>
        </w:rPr>
        <w:t>Dated:  December 11, 2000</w:t>
      </w:r>
    </w:p>
    <w:p>
      <w:pPr>
        <w:pStyle w:val="Heading"/>
        <w:rPr/>
      </w:pPr>
      <w:r>
        <w:rPr/>
        <w:t>BEFORE THE PUBLIC UTILITIES COMMISSION</w:t>
      </w:r>
    </w:p>
    <w:p>
      <w:pPr>
        <w:pStyle w:val="Subtitle"/>
        <w:rPr/>
      </w:pPr>
      <w:r>
        <w:rPr/>
        <w:t>OF THE STATE OF CALIFORNIA</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tc>
        <w:tc>
          <w:tcPr>
            <w:tcW w:w="3798" w:type="dxa"/>
            <w:tcBorders>
              <w:start w:val="single" w:sz="4" w:space="0" w:color="000000"/>
            </w:tcBorders>
          </w:tcPr>
          <w:p>
            <w:pPr>
              <w:pStyle w:val="Normal"/>
              <w:snapToGrid w:val="false"/>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jc w:val="center"/>
              <w:rPr>
                <w:rFonts w:ascii="Arial;Arial" w:hAnsi="Arial;Arial" w:cs="Arial;Arial"/>
              </w:rPr>
            </w:pPr>
            <w:r>
              <w:rPr>
                <w:rFonts w:cs="Arial;Arial" w:ascii="Arial;Arial" w:hAnsi="Arial;Arial"/>
              </w:rPr>
              <w:t>I.99-07-003</w:t>
            </w:r>
          </w:p>
        </w:tc>
      </w:tr>
    </w:tbl>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Heading"/>
        <w:rPr/>
      </w:pPr>
      <w:r>
        <w:rPr/>
        <w:t xml:space="preserve">COMMENTS OF CHEVRON U.S.A. INC. </w:t>
      </w:r>
    </w:p>
    <w:p>
      <w:pPr>
        <w:pStyle w:val="Heading"/>
        <w:rPr/>
      </w:pPr>
      <w:r>
        <w:rPr/>
        <w:t>ON THE PROPOSED DECISION OF COMMISSIONER BILAS</w:t>
      </w:r>
    </w:p>
    <w:p>
      <w:pPr>
        <w:pStyle w:val="Normal"/>
        <w:tabs>
          <w:tab w:val="clear" w:pos="720"/>
          <w:tab w:val="left" w:pos="3960" w:leader="none"/>
          <w:tab w:val="right" w:pos="9000" w:leader="none"/>
        </w:tabs>
        <w:ind w:hanging="4140" w:start="4140" w:end="0"/>
        <w:rPr>
          <w:rFonts w:ascii="Arial;Arial" w:hAnsi="Arial;Arial" w:cs="Arial;Arial"/>
        </w:rPr>
      </w:pPr>
      <w:r>
        <w:rPr>
          <w:rFonts w:cs="Arial;Arial" w:ascii="Arial;Arial" w:hAnsi="Arial;Arial"/>
        </w:rPr>
      </w:r>
    </w:p>
    <w:p>
      <w:pPr>
        <w:pStyle w:val="Normal"/>
        <w:tabs>
          <w:tab w:val="clear" w:pos="720"/>
          <w:tab w:val="left" w:pos="3960" w:leader="none"/>
          <w:tab w:val="right" w:pos="9000" w:leader="none"/>
        </w:tabs>
        <w:ind w:hanging="4140" w:start="4140" w:end="0"/>
        <w:rPr>
          <w:rFonts w:ascii="Arial;Arial" w:hAnsi="Arial;Arial" w:cs="Arial;Arial"/>
        </w:rPr>
      </w:pPr>
      <w:r>
        <w:rPr>
          <w:rFonts w:cs="Arial;Arial" w:ascii="Arial;Arial" w:hAnsi="Arial;Arial"/>
        </w:rPr>
      </w:r>
    </w:p>
    <w:p>
      <w:pPr>
        <w:pStyle w:val="Normal"/>
        <w:tabs>
          <w:tab w:val="left" w:pos="720" w:leader="none"/>
          <w:tab w:val="right" w:pos="9000" w:leader="none"/>
        </w:tabs>
        <w:spacing w:lineRule="auto" w:line="480"/>
        <w:rPr/>
      </w:pPr>
      <w:r>
        <w:rPr>
          <w:rFonts w:cs="Arial;Arial" w:ascii="Arial;Arial" w:hAnsi="Arial;Arial"/>
        </w:rPr>
        <w:tab/>
        <w:t xml:space="preserve">Pursuant to Rules 77, </w:t>
      </w:r>
      <w:r>
        <w:rPr>
          <w:rFonts w:cs="Arial;Arial" w:ascii="Arial;Arial" w:hAnsi="Arial;Arial"/>
          <w:i/>
        </w:rPr>
        <w:t>et seq.</w:t>
      </w:r>
      <w:r>
        <w:rPr>
          <w:rFonts w:cs="Arial;Arial" w:ascii="Arial;Arial" w:hAnsi="Arial;Arial"/>
        </w:rPr>
        <w:t>, of the Rules of Practice and Procedure of the California Public Utilities Commission (CPUC or Commission), Chevron U.S.A. Inc. (Chevron) hereby submits comments on the Proposed Decision of Commissioner Bilas (PD) in the above-referenced proceeding.</w:t>
      </w:r>
      <w:r>
        <w:rPr>
          <w:rStyle w:val="FootnoteCharacters"/>
          <w:rStyle w:val="FootnoteReference"/>
          <w:rFonts w:cs="Arial;Arial" w:ascii="Arial;Arial" w:hAnsi="Arial;Arial"/>
        </w:rPr>
        <w:footnoteReference w:id="2"/>
      </w:r>
      <w:r>
        <w:rPr>
          <w:rFonts w:cs="Arial;Arial" w:ascii="Arial;Arial" w:hAnsi="Arial;Arial"/>
        </w:rPr>
        <w:t xml:space="preserve">  Chevron encourages the Commission to focus very specifically on the implications for California natural gas production under the competing Interim Settlement Agreement (ISA) and Comprehensive Settlement Agreement (CSA).  </w:t>
      </w:r>
    </w:p>
    <w:p>
      <w:pPr>
        <w:pStyle w:val="Normal"/>
        <w:tabs>
          <w:tab w:val="left" w:pos="720" w:leader="none"/>
          <w:tab w:val="right" w:pos="9000" w:leader="none"/>
        </w:tabs>
        <w:spacing w:lineRule="auto" w:line="480"/>
        <w:rPr>
          <w:rFonts w:ascii="Arial;Arial" w:hAnsi="Arial;Arial" w:cs="Arial;Arial"/>
        </w:rPr>
      </w:pPr>
      <w:r>
        <w:rPr>
          <w:rFonts w:cs="Arial;Arial" w:ascii="Arial;Arial" w:hAnsi="Arial;Arial"/>
        </w:rPr>
        <w:tab/>
        <w:t>Specifically, the CSA requires that Southern California Gas Company (“SoCalGas”) bears an obligation for all upgrades and maintenance to backbone transmission facilities, including Line 85 for California production.  The Interim Settlement does not incorporate this provision explicitly – a provision that will be important in ensuring the availability of California gas to the market.  On these grounds, Chevron urges the Commission to maintain SoCalGas’ obligation to provide for upgrades and maintenance on Line 85 in its final decision in this proceeding.</w:t>
      </w:r>
    </w:p>
    <w:p>
      <w:pPr>
        <w:pStyle w:val="Pleading"/>
        <w:numPr>
          <w:ilvl w:val="0"/>
          <w:numId w:val="0"/>
        </w:numPr>
        <w:ind w:hanging="720" w:start="720" w:end="0"/>
        <w:rPr>
          <w:b/>
        </w:rPr>
      </w:pPr>
      <w:r>
        <w:rPr>
          <w:b/>
        </w:rPr>
        <w:t>I.</w:t>
        <w:tab/>
        <w:t xml:space="preserve">THE COMPREHENSIVE SETTLEMENT AGREEMENT PROVIDES THAT SOCALGAS WOULD PAY FOR ALL UPGRADES TO LINE 85 FACILITIES DURING THE TERM OF THE SETTLEMENT.  </w:t>
      </w:r>
    </w:p>
    <w:p>
      <w:pPr>
        <w:pStyle w:val="Pleading"/>
        <w:numPr>
          <w:ilvl w:val="0"/>
          <w:numId w:val="0"/>
        </w:numPr>
        <w:ind w:hanging="0" w:start="0"/>
        <w:rPr>
          <w:b/>
        </w:rPr>
      </w:pPr>
      <w:r>
        <w:rPr>
          <w:b/>
        </w:rPr>
      </w:r>
    </w:p>
    <w:p>
      <w:pPr>
        <w:pStyle w:val="Pleading"/>
        <w:numPr>
          <w:ilvl w:val="0"/>
          <w:numId w:val="0"/>
        </w:numPr>
        <w:spacing w:lineRule="auto" w:line="480"/>
        <w:ind w:hanging="0" w:start="0"/>
        <w:rPr/>
      </w:pPr>
      <w:r>
        <w:rPr/>
        <w:tab/>
        <w:t xml:space="preserve">Under the CSA, SoCalGas must maintain the current throughput levels through Line 85, including, if necessary, upgrading Line 85 facilities.  The CSA first states:  </w:t>
      </w:r>
    </w:p>
    <w:p>
      <w:pPr>
        <w:pStyle w:val="Pleading"/>
        <w:numPr>
          <w:ilvl w:val="0"/>
          <w:numId w:val="0"/>
        </w:numPr>
        <w:ind w:hanging="0" w:start="1440" w:end="1440"/>
        <w:jc w:val="both"/>
        <w:rPr/>
      </w:pPr>
      <w:r>
        <w:rPr>
          <w:i/>
        </w:rPr>
        <w:t>SoCalGas is obliged for the term of this Settlement Agreement to use all reasonable efforts to maintain the availability of the amount of firm backbone capacity at each receipt point as shown in Appendix B.  SoCalGas is not allowed any additional cost recovery to meet this commitment except pursuant to whatever PBR indexing or attrition mechanisms and mechanisms for catastrophic event costs are in place during the term of this Settlement Agreement.  This Settlement Agreement does not address under what conditions, if any, SoCalGas must expand its backbone capacity, or the treatment (such as rates, allocation of capacity, etc.) of any increase in backbone capacity that SoCalGas may construct.  These issues are left to the Commission to resolve at such time, if ever, as it chooses to resolve them</w:t>
      </w:r>
      <w:r>
        <w:rPr/>
        <w:t xml:space="preserve">.  </w:t>
      </w:r>
    </w:p>
    <w:p>
      <w:pPr>
        <w:pStyle w:val="Pleading"/>
        <w:numPr>
          <w:ilvl w:val="0"/>
          <w:numId w:val="0"/>
        </w:numPr>
        <w:ind w:hanging="0" w:start="1440" w:end="1440"/>
        <w:jc w:val="both"/>
        <w:rPr/>
      </w:pPr>
      <w:r>
        <w:rPr/>
      </w:r>
    </w:p>
    <w:p>
      <w:pPr>
        <w:pStyle w:val="Pleading"/>
        <w:numPr>
          <w:ilvl w:val="0"/>
          <w:numId w:val="0"/>
        </w:numPr>
        <w:spacing w:lineRule="auto" w:line="480"/>
        <w:ind w:hanging="0" w:start="0"/>
        <w:rPr/>
      </w:pPr>
      <w:r>
        <w:rPr/>
        <w:t xml:space="preserve">(CSA at § II. 1.1.3.1. (Revised April 28, 2000))  At Appendix B, it is clear that all existing on-system California gas production was to have a first right to access to transmission rights on Line 85 and North Coastal.  </w:t>
      </w:r>
      <w:r>
        <w:rPr>
          <w:i/>
        </w:rPr>
        <w:t>“Primary access rights are used to deliver on-system California supplies.  There are no secondary rights available.”</w:t>
      </w:r>
      <w:r>
        <w:rPr/>
        <w:t xml:space="preserve">  (CSA at Appendix B, p. 2.)  Further, the CSA reads, </w:t>
      </w:r>
      <w:r>
        <w:rPr>
          <w:i/>
        </w:rPr>
        <w:t>“Existing on-system California producers can obtain up to 100% of the North Coastal and Line 85 receipt point capacity rights based on their historic deliveries.”</w:t>
      </w:r>
      <w:r>
        <w:rPr/>
        <w:t xml:space="preserve">  (</w:t>
      </w:r>
      <w:r>
        <w:rPr>
          <w:i/>
        </w:rPr>
        <w:t>Id.</w:t>
      </w:r>
      <w:r>
        <w:rPr/>
        <w:t xml:space="preserve">, at p. 3.)  One effect of the combination of these provisions is to ensure that California producers retain 150 million cubic feet per day of firm capacity over Line 85, with SoCalGas bearing the cost of upgrades and maintenance.  </w:t>
      </w:r>
      <w:r>
        <w:rPr>
          <w:i/>
        </w:rPr>
        <w:t>“Seasonal firm capacity will be offered by SoCalGas on Line 85 in the winter months, when 180 MMcfd of capacity will be available.  The sum of volumes in the year-round commitments and the seasonal commitments together protect total access agreement commitments on Line 85.”</w:t>
      </w:r>
      <w:r>
        <w:rPr/>
        <w:t xml:space="preserve">  (Prepared Direct Testimony of Paul C. McKelvey at p. 3:20-22.)   </w:t>
      </w:r>
    </w:p>
    <w:p>
      <w:pPr>
        <w:pStyle w:val="Pleading"/>
        <w:numPr>
          <w:ilvl w:val="0"/>
          <w:numId w:val="0"/>
        </w:numPr>
        <w:ind w:hanging="720" w:start="720" w:end="0"/>
        <w:rPr>
          <w:b/>
        </w:rPr>
      </w:pPr>
      <w:r>
        <w:rPr>
          <w:b/>
        </w:rPr>
        <w:t>II.</w:t>
        <w:tab/>
        <w:t xml:space="preserve">THE COMMISSION MUST ACT TO ENCOURAGE AND MAXIMIZE CALIFORNIA NATURAL GAS PRODUCTION BY AFFIRMING IN ITS FINAL DECISION SOCALGAS’ OBLIGATION TO MAINTAIN AND UPGRADE, IF NECESSARY, LINE 85.  </w:t>
      </w:r>
    </w:p>
    <w:p>
      <w:pPr>
        <w:pStyle w:val="Pleading"/>
        <w:numPr>
          <w:ilvl w:val="0"/>
          <w:numId w:val="0"/>
        </w:numPr>
        <w:ind w:hanging="0" w:start="0"/>
        <w:rPr>
          <w:b/>
        </w:rPr>
      </w:pPr>
      <w:r>
        <w:rPr>
          <w:b/>
        </w:rPr>
      </w:r>
    </w:p>
    <w:p>
      <w:pPr>
        <w:pStyle w:val="Pleading"/>
        <w:numPr>
          <w:ilvl w:val="0"/>
          <w:numId w:val="0"/>
        </w:numPr>
        <w:spacing w:lineRule="auto" w:line="480"/>
        <w:ind w:firstLine="720" w:start="0" w:end="0"/>
        <w:rPr/>
      </w:pPr>
      <w:r>
        <w:rPr/>
        <w:t xml:space="preserve">The PD finds that border prices are placing a burden on California consumers.  It takes official notice of gas prices at the California border during the months of May through October of 2000.  (PD at pp. 9-10 and fn. 10.)  While it cannot ignore events of recent months, the Commission also must not lose sight of the long-term energy security of California.  As part of that effort, the Commission must acknowledge the critical role of in-state natural gas producers in providing positive pressures on supply (and the concomitant downward pressures on price).  The Commission cannot afford to inhibit the delivery of gas onto the Southern California distribution system in any manner – </w:t>
      </w:r>
      <w:r>
        <w:rPr>
          <w:i/>
          <w:iCs/>
        </w:rPr>
        <w:t>and the Commission must not allow SoCalGas to impede delivery by failing to maintain California gas delivery points.</w:t>
      </w:r>
      <w:r>
        <w:rPr/>
        <w:t xml:space="preserve">  </w:t>
      </w:r>
    </w:p>
    <w:p>
      <w:pPr>
        <w:pStyle w:val="Pleading"/>
        <w:numPr>
          <w:ilvl w:val="0"/>
          <w:numId w:val="0"/>
        </w:numPr>
        <w:spacing w:lineRule="auto" w:line="480"/>
        <w:ind w:firstLine="720" w:start="0" w:end="0"/>
        <w:rPr/>
      </w:pPr>
      <w:r>
        <w:rPr/>
        <w:t xml:space="preserve">The provisions from the CSA under which SoCalGas maintains the availability of the current level of gas deliveries through Line 85 into the SoCalGas system by California gas producers, including, if necessary, all facilities upgrades on Line 85, would also enable the Commission to fulfill its duty to encourage natural gas production in California.  As Chevron previously briefed in this investigation, the California Gas Policy Act, Pub. Util. Code §§ 785 </w:t>
      </w:r>
      <w:r>
        <w:rPr>
          <w:i/>
        </w:rPr>
        <w:t>et seq.,</w:t>
      </w:r>
      <w:r>
        <w:rPr/>
        <w:t xml:space="preserve"> requires that the Commission shall </w:t>
      </w:r>
      <w:r>
        <w:rPr>
          <w:i/>
        </w:rPr>
        <w:t xml:space="preserve">“encourage, </w:t>
      </w:r>
      <w:r>
        <w:rPr>
          <w:b/>
          <w:i/>
        </w:rPr>
        <w:t>as a first priority</w:t>
      </w:r>
      <w:r>
        <w:rPr>
          <w:i/>
        </w:rPr>
        <w:t>, the increased production of gas in this state.”</w:t>
      </w:r>
      <w:r>
        <w:rPr/>
        <w:t xml:space="preserve">  (P.U. Code § 785.) (Emphasis added.) (</w:t>
      </w:r>
      <w:r>
        <w:rPr>
          <w:i/>
        </w:rPr>
        <w:t xml:space="preserve">See, </w:t>
      </w:r>
      <w:r>
        <w:rPr>
          <w:i/>
          <w:iCs/>
        </w:rPr>
        <w:t>Opening Brief of the Indicated Producers In Support of the Comprehensive Gas OII Settlement Agreement for Southern California Gas Company and San Diego Gas &amp; Electric Company</w:t>
      </w:r>
      <w:r>
        <w:rPr/>
        <w:t xml:space="preserve">, filed on July 10, 2000, at pp. 17-22.)  </w:t>
      </w:r>
    </w:p>
    <w:p>
      <w:pPr>
        <w:pStyle w:val="Pleading"/>
        <w:numPr>
          <w:ilvl w:val="0"/>
          <w:numId w:val="0"/>
        </w:numPr>
        <w:spacing w:lineRule="auto" w:line="480"/>
        <w:ind w:hanging="0" w:start="0"/>
        <w:rPr/>
      </w:pPr>
      <w:r>
        <w:rPr/>
        <w:tab/>
        <w:t>This obligation can be affirmed through the Commission’s adoption of the CSA.  Today, SoCalGas has an obligation to maintain its backbone transmission facilities, with the cost of any upgrades or maintenance treated under its Performance Based Ratemaking (PBR) mechanism.  The CPUC affirmed the PBR mechanism for the gas procurement functions of southern California gas companies in the PG&amp;E Gas Accord.  (</w:t>
      </w:r>
      <w:r>
        <w:rPr>
          <w:i/>
          <w:iCs/>
        </w:rPr>
        <w:t xml:space="preserve">See, </w:t>
      </w:r>
      <w:r>
        <w:rPr/>
        <w:t xml:space="preserve">D.97-08-055, at </w:t>
      </w:r>
      <w:r>
        <w:rPr>
          <w:i/>
          <w:iCs/>
        </w:rPr>
        <w:t>mimeo</w:t>
      </w:r>
      <w:r>
        <w:rPr/>
        <w:t xml:space="preserve"> p. 51.)  </w:t>
      </w:r>
      <w:r>
        <w:rPr>
          <w:i/>
          <w:iCs/>
        </w:rPr>
        <w:t xml:space="preserve">“The gas procurement performance-based ratemaking mechanisms … we have adopted appear to be one of our regulatory successes as far as core customers are concerned.”  </w:t>
      </w:r>
      <w:r>
        <w:rPr/>
        <w:t>(</w:t>
      </w:r>
      <w:r>
        <w:rPr>
          <w:i/>
          <w:iCs/>
        </w:rPr>
        <w:t>Id.</w:t>
      </w:r>
      <w:r>
        <w:rPr/>
        <w:t>)  As long as SoCalGas, the local distribution company, remains responsible for the core procurement function, it should be allowed to recover the cost of maintaining Line 85 through the PBR ratemaking mechanism.  (</w:t>
      </w:r>
      <w:r>
        <w:rPr>
          <w:i/>
          <w:iCs/>
        </w:rPr>
        <w:t>See, e.g.</w:t>
      </w:r>
      <w:r>
        <w:rPr/>
        <w:t xml:space="preserve">, D. 99-07-015, at </w:t>
      </w:r>
      <w:r>
        <w:rPr>
          <w:i/>
          <w:iCs/>
        </w:rPr>
        <w:t>mimeo</w:t>
      </w:r>
      <w:r>
        <w:rPr/>
        <w:t xml:space="preserve"> pp. 52-53.)  </w:t>
      </w:r>
    </w:p>
    <w:p>
      <w:pPr>
        <w:pStyle w:val="Pleading"/>
        <w:numPr>
          <w:ilvl w:val="0"/>
          <w:numId w:val="0"/>
        </w:numPr>
        <w:spacing w:lineRule="auto" w:line="480"/>
        <w:ind w:firstLine="720" w:start="0" w:end="0"/>
        <w:rPr/>
      </w:pPr>
      <w:r>
        <w:rPr/>
        <w:t xml:space="preserve">If, however, the Commission adopts the Interim Settlement as proposed, it should clarify SoCalGas’ continuing obligation to ensure current throughput levels through Line 85 and upgrade, as necessary.  Moreover, it should not deviate far from the cost recovery mechanism for these obligations that was contemplated in the CSA.  </w:t>
      </w:r>
    </w:p>
    <w:p>
      <w:pPr>
        <w:pStyle w:val="Pleading"/>
        <w:numPr>
          <w:ilvl w:val="0"/>
          <w:numId w:val="0"/>
        </w:numPr>
        <w:spacing w:lineRule="auto" w:line="480"/>
        <w:ind w:hanging="0" w:start="0"/>
        <w:rPr/>
      </w:pPr>
      <w:r>
        <w:rPr>
          <w:b/>
        </w:rPr>
        <w:t>III.</w:t>
        <w:tab/>
        <w:t>CONCLUSION</w:t>
      </w:r>
      <w:r>
        <w:rPr/>
        <w:tab/>
      </w:r>
    </w:p>
    <w:p>
      <w:pPr>
        <w:pStyle w:val="Pleading"/>
        <w:numPr>
          <w:ilvl w:val="0"/>
          <w:numId w:val="0"/>
        </w:numPr>
        <w:spacing w:lineRule="auto" w:line="480"/>
        <w:ind w:firstLine="720" w:start="0" w:end="0"/>
        <w:rPr/>
      </w:pPr>
      <w:r>
        <w:rPr/>
        <w:t xml:space="preserve">For all of the foregoing reasons, Chevron respectfully requests that the Commission include a provision in its final decision affirming, under any conditions, SoCalGas’ continuing obligation to maintain the availability of the current level of gas deliveries through Line 85 into the SoCalGas system by California gas producers, including, if necessary, all facilities upgrades on Line 85. </w:t>
      </w:r>
    </w:p>
    <w:p>
      <w:pPr>
        <w:pStyle w:val="Pleading"/>
        <w:numPr>
          <w:ilvl w:val="0"/>
          <w:numId w:val="0"/>
        </w:numPr>
        <w:ind w:hanging="0" w:start="0"/>
        <w:rPr/>
      </w:pPr>
      <w:r>
        <w:rPr/>
      </w:r>
    </w:p>
    <w:p>
      <w:pPr>
        <w:pStyle w:val="Pleading"/>
        <w:numPr>
          <w:ilvl w:val="0"/>
          <w:numId w:val="0"/>
        </w:numPr>
        <w:ind w:hanging="0" w:start="0"/>
        <w:rPr/>
      </w:pPr>
      <w:r>
        <w:rPr/>
        <w:t>Submitted by:</w:t>
      </w:r>
    </w:p>
    <w:p>
      <w:pPr>
        <w:pStyle w:val="Pleading"/>
        <w:numPr>
          <w:ilvl w:val="0"/>
          <w:numId w:val="0"/>
        </w:numPr>
        <w:ind w:hanging="0" w:start="720" w:end="0"/>
        <w:rPr/>
      </w:pPr>
      <w:r>
        <w:rPr/>
      </w:r>
    </w:p>
    <w:p>
      <w:pPr>
        <w:pStyle w:val="Pleading"/>
        <w:numPr>
          <w:ilvl w:val="0"/>
          <w:numId w:val="0"/>
        </w:numPr>
        <w:ind w:firstLine="720" w:start="3600" w:end="0"/>
        <w:rPr>
          <w:b/>
        </w:rPr>
      </w:pPr>
      <w:r>
        <w:rPr>
          <w:b/>
        </w:rPr>
        <w:t>ALCANTAR &amp; ELSESSER LLP</w:t>
      </w:r>
    </w:p>
    <w:p>
      <w:pPr>
        <w:pStyle w:val="Pleading"/>
        <w:numPr>
          <w:ilvl w:val="0"/>
          <w:numId w:val="0"/>
        </w:numPr>
        <w:ind w:hanging="0" w:start="720" w:end="0"/>
        <w:jc w:val="end"/>
        <w:rPr>
          <w:b/>
        </w:rPr>
      </w:pPr>
      <w:r>
        <w:rPr>
          <w:b/>
        </w:rPr>
      </w:r>
    </w:p>
    <w:p>
      <w:pPr>
        <w:pStyle w:val="Pleading"/>
        <w:numPr>
          <w:ilvl w:val="0"/>
          <w:numId w:val="0"/>
        </w:numPr>
        <w:ind w:hanging="0" w:start="720" w:end="0"/>
        <w:jc w:val="end"/>
        <w:rPr/>
      </w:pPr>
      <w:r>
        <w:rPr/>
      </w:r>
    </w:p>
    <w:p>
      <w:pPr>
        <w:pStyle w:val="Pleading"/>
        <w:numPr>
          <w:ilvl w:val="0"/>
          <w:numId w:val="0"/>
        </w:numPr>
        <w:ind w:hanging="0" w:start="720" w:end="0"/>
        <w:jc w:val="end"/>
        <w:rPr/>
      </w:pPr>
      <w:r>
        <w:rPr/>
      </w:r>
    </w:p>
    <w:p>
      <w:pPr>
        <w:pStyle w:val="Pleading"/>
        <w:numPr>
          <w:ilvl w:val="0"/>
          <w:numId w:val="0"/>
        </w:numPr>
        <w:ind w:firstLine="720" w:start="3600" w:end="0"/>
        <w:rPr/>
      </w:pPr>
      <w:r>
        <w:rPr/>
        <w:t>________________________________</w:t>
      </w:r>
    </w:p>
    <w:p>
      <w:pPr>
        <w:pStyle w:val="Pleading"/>
        <w:numPr>
          <w:ilvl w:val="0"/>
          <w:numId w:val="0"/>
        </w:numPr>
        <w:ind w:firstLine="720" w:start="3600" w:end="0"/>
        <w:rPr/>
      </w:pPr>
      <w:r>
        <w:rPr/>
        <w:t>Evelyn Kahl Elsesser</w:t>
      </w:r>
    </w:p>
    <w:p>
      <w:pPr>
        <w:pStyle w:val="Pleading"/>
        <w:numPr>
          <w:ilvl w:val="0"/>
          <w:numId w:val="0"/>
        </w:numPr>
        <w:ind w:firstLine="720" w:start="3600" w:end="0"/>
        <w:rPr/>
      </w:pPr>
      <w:r>
        <w:rPr/>
        <w:t xml:space="preserve">Christine H. Jun </w:t>
      </w:r>
    </w:p>
    <w:p>
      <w:pPr>
        <w:pStyle w:val="Pleading"/>
        <w:numPr>
          <w:ilvl w:val="0"/>
          <w:numId w:val="0"/>
        </w:numPr>
        <w:ind w:firstLine="720" w:start="3600" w:end="0"/>
        <w:rPr/>
      </w:pPr>
      <w:r>
        <w:rPr/>
      </w:r>
    </w:p>
    <w:p>
      <w:pPr>
        <w:pStyle w:val="Pleading"/>
        <w:numPr>
          <w:ilvl w:val="0"/>
          <w:numId w:val="0"/>
        </w:numPr>
        <w:ind w:firstLine="720" w:start="3600" w:end="0"/>
        <w:rPr/>
      </w:pPr>
      <w:r>
        <w:rPr/>
        <w:t>Attorneys for Chevron U.S.A. Inc.</w:t>
      </w:r>
    </w:p>
    <w:p>
      <w:pPr>
        <w:pStyle w:val="Pleading"/>
        <w:numPr>
          <w:ilvl w:val="0"/>
          <w:numId w:val="0"/>
        </w:numPr>
        <w:ind w:firstLine="720" w:start="3600" w:end="0"/>
        <w:rPr/>
      </w:pPr>
      <w:r>
        <w:rPr/>
      </w:r>
    </w:p>
    <w:p>
      <w:pPr>
        <w:pStyle w:val="Pleading"/>
        <w:numPr>
          <w:ilvl w:val="0"/>
          <w:numId w:val="0"/>
        </w:numPr>
        <w:ind w:firstLine="720" w:start="3600" w:end="0"/>
        <w:rPr/>
      </w:pPr>
      <w:r>
        <w:rPr/>
        <w:t>One Embarcadero Center, Suite 2420</w:t>
      </w:r>
    </w:p>
    <w:p>
      <w:pPr>
        <w:pStyle w:val="Pleading"/>
        <w:numPr>
          <w:ilvl w:val="0"/>
          <w:numId w:val="0"/>
        </w:numPr>
        <w:ind w:firstLine="720" w:start="3600" w:end="0"/>
        <w:rPr/>
      </w:pPr>
      <w:r>
        <w:rPr/>
        <w:t>San Francisco, CA 94111</w:t>
      </w:r>
    </w:p>
    <w:p>
      <w:pPr>
        <w:pStyle w:val="Pleading"/>
        <w:numPr>
          <w:ilvl w:val="0"/>
          <w:numId w:val="0"/>
        </w:numPr>
        <w:ind w:firstLine="720" w:start="3600" w:end="0"/>
        <w:rPr/>
      </w:pPr>
      <w:r>
        <w:rPr/>
        <w:t>Telephone: 415.421.4143</w:t>
      </w:r>
    </w:p>
    <w:p>
      <w:pPr>
        <w:pStyle w:val="Pleading"/>
        <w:numPr>
          <w:ilvl w:val="0"/>
          <w:numId w:val="0"/>
        </w:numPr>
        <w:ind w:firstLine="720" w:start="3600" w:end="0"/>
        <w:rPr/>
      </w:pPr>
      <w:r>
        <w:rPr/>
        <w:t>Facsimile:  415.989.1263</w:t>
      </w:r>
    </w:p>
    <w:p>
      <w:pPr>
        <w:pStyle w:val="Pleading"/>
        <w:numPr>
          <w:ilvl w:val="0"/>
          <w:numId w:val="0"/>
        </w:numPr>
        <w:ind w:firstLine="720" w:start="3600" w:end="0"/>
        <w:rPr/>
      </w:pPr>
      <w:r>
        <w:rPr/>
        <w:t>Email:</w:t>
        <w:tab/>
      </w:r>
      <w:hyperlink r:id="rId6">
        <w:r>
          <w:rPr>
            <w:rStyle w:val="Hyperlink"/>
          </w:rPr>
          <w:t>eke@aelaw.com</w:t>
        </w:r>
      </w:hyperlink>
    </w:p>
    <w:p>
      <w:pPr>
        <w:pStyle w:val="Pleading"/>
        <w:numPr>
          <w:ilvl w:val="0"/>
          <w:numId w:val="0"/>
        </w:numPr>
        <w:ind w:firstLine="720" w:start="3600" w:end="0"/>
        <w:rPr/>
      </w:pPr>
      <w:r>
        <w:rPr/>
        <w:tab/>
      </w:r>
      <w:hyperlink r:id="rId7">
        <w:r>
          <w:rPr>
            <w:rStyle w:val="Hyperlink"/>
          </w:rPr>
          <w:t>chj@aelaw.com</w:t>
        </w:r>
      </w:hyperlink>
    </w:p>
    <w:sectPr>
      <w:footerReference w:type="default" r:id="rId8"/>
      <w:footerReference w:type="first" r:id="rId9"/>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Fonts w:ascii="Arial;Arial" w:hAnsi="Arial;Arial" w:cs="Arial;Arial"/>
                            </w:rPr>
                          </w:pPr>
                          <w:r>
                            <w:rPr>
                              <w:rStyle w:val="PageNumber"/>
                              <w:rFonts w:cs="Arial;Arial" w:ascii="Arial;Arial" w:hAnsi="Arial;Arial"/>
                            </w:rPr>
                            <w:fldChar w:fldCharType="begin"/>
                          </w:r>
                          <w:r>
                            <w:rPr>
                              <w:rStyle w:val="PageNumber"/>
                              <w:rFonts w:cs="Arial;Arial" w:ascii="Arial;Arial" w:hAnsi="Arial;Arial"/>
                            </w:rPr>
                            <w:instrText xml:space="preserve"> PAGE </w:instrText>
                          </w:r>
                          <w:r>
                            <w:rPr>
                              <w:rStyle w:val="PageNumber"/>
                              <w:rFonts w:cs="Arial;Arial" w:ascii="Arial;Arial" w:hAnsi="Arial;Arial"/>
                            </w:rPr>
                            <w:fldChar w:fldCharType="separate"/>
                          </w:r>
                          <w:r>
                            <w:rPr>
                              <w:rStyle w:val="PageNumber"/>
                              <w:rFonts w:cs="Arial;Arial" w:ascii="Arial;Arial" w:hAnsi="Arial;Arial"/>
                            </w:rPr>
                            <w:t>0</w:t>
                          </w:r>
                          <w:r>
                            <w:rPr>
                              <w:rStyle w:val="PageNumber"/>
                              <w:rFonts w:cs="Arial;Arial" w:ascii="Arial;Arial" w:hAnsi="Arial;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Arial" w:hAnsi="Arial;Arial" w:cs="Arial;Arial"/>
                      </w:rPr>
                    </w:pPr>
                    <w:r>
                      <w:rPr>
                        <w:rStyle w:val="PageNumber"/>
                        <w:rFonts w:cs="Arial;Arial" w:ascii="Arial;Arial" w:hAnsi="Arial;Arial"/>
                      </w:rPr>
                      <w:fldChar w:fldCharType="begin"/>
                    </w:r>
                    <w:r>
                      <w:rPr>
                        <w:rStyle w:val="PageNumber"/>
                        <w:rFonts w:cs="Arial;Arial" w:ascii="Arial;Arial" w:hAnsi="Arial;Arial"/>
                      </w:rPr>
                      <w:instrText xml:space="preserve"> PAGE </w:instrText>
                    </w:r>
                    <w:r>
                      <w:rPr>
                        <w:rStyle w:val="PageNumber"/>
                        <w:rFonts w:cs="Arial;Arial" w:ascii="Arial;Arial" w:hAnsi="Arial;Arial"/>
                      </w:rPr>
                      <w:fldChar w:fldCharType="separate"/>
                    </w:r>
                    <w:r>
                      <w:rPr>
                        <w:rStyle w:val="PageNumber"/>
                        <w:rFonts w:cs="Arial;Arial" w:ascii="Arial;Arial" w:hAnsi="Arial;Arial"/>
                      </w:rPr>
                      <w:t>0</w:t>
                    </w:r>
                    <w:r>
                      <w:rPr>
                        <w:rStyle w:val="PageNumber"/>
                        <w:rFonts w:cs="Arial;Arial" w:ascii="Arial;Arial" w:hAnsi="Arial;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Fonts w:cs="Arial;Arial" w:ascii="Arial;Arial" w:hAnsi="Arial;Arial"/>
                            </w:rPr>
                            <w:fldChar w:fldCharType="begin"/>
                          </w:r>
                          <w:r>
                            <w:rPr>
                              <w:rStyle w:val="PageNumber"/>
                              <w:rFonts w:cs="Arial;Arial" w:ascii="Arial;Arial" w:hAnsi="Arial;Arial"/>
                            </w:rPr>
                            <w:instrText xml:space="preserve"> PAGE </w:instrText>
                          </w:r>
                          <w:r>
                            <w:rPr>
                              <w:rStyle w:val="PageNumber"/>
                              <w:rFonts w:cs="Arial;Arial" w:ascii="Arial;Arial" w:hAnsi="Arial;Arial"/>
                            </w:rPr>
                            <w:fldChar w:fldCharType="separate"/>
                          </w:r>
                          <w:r>
                            <w:rPr>
                              <w:rStyle w:val="PageNumber"/>
                              <w:rFonts w:cs="Arial;Arial" w:ascii="Arial;Arial" w:hAnsi="Arial;Arial"/>
                            </w:rPr>
                            <w:t>5</w:t>
                          </w:r>
                          <w:r>
                            <w:rPr>
                              <w:rStyle w:val="PageNumber"/>
                              <w:rFonts w:cs="Arial;Arial" w:ascii="Arial;Arial" w:hAnsi="Arial;Arial"/>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Arial" w:ascii="Arial;Arial" w:hAnsi="Arial;Arial"/>
                      </w:rPr>
                      <w:fldChar w:fldCharType="begin"/>
                    </w:r>
                    <w:r>
                      <w:rPr>
                        <w:rStyle w:val="PageNumber"/>
                        <w:rFonts w:cs="Arial;Arial" w:ascii="Arial;Arial" w:hAnsi="Arial;Arial"/>
                      </w:rPr>
                      <w:instrText xml:space="preserve"> PAGE </w:instrText>
                    </w:r>
                    <w:r>
                      <w:rPr>
                        <w:rStyle w:val="PageNumber"/>
                        <w:rFonts w:cs="Arial;Arial" w:ascii="Arial;Arial" w:hAnsi="Arial;Arial"/>
                      </w:rPr>
                      <w:fldChar w:fldCharType="separate"/>
                    </w:r>
                    <w:r>
                      <w:rPr>
                        <w:rStyle w:val="PageNumber"/>
                        <w:rFonts w:cs="Arial;Arial" w:ascii="Arial;Arial" w:hAnsi="Arial;Arial"/>
                      </w:rPr>
                      <w:t>5</w:t>
                    </w:r>
                    <w:r>
                      <w:rPr>
                        <w:rStyle w:val="PageNumber"/>
                        <w:rFonts w:cs="Arial;Arial" w:ascii="Arial;Arial" w:hAnsi="Arial;Arial"/>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rFonts w:cs="Arial;Arial" w:ascii="Arial;Arial" w:hAnsi="Arial;Arial"/>
        </w:rPr>
        <w:t xml:space="preserve">Chevron is a party to this proceeding through the Indicated Producers, an </w:t>
      </w:r>
      <w:r>
        <w:rPr>
          <w:rFonts w:cs="Arial;Arial" w:ascii="Arial;Arial" w:hAnsi="Arial;Arial"/>
          <w:i/>
        </w:rPr>
        <w:t>ad hoc</w:t>
      </w:r>
      <w:r>
        <w:rPr>
          <w:rFonts w:cs="Arial;Arial" w:ascii="Arial;Arial" w:hAnsi="Arial;Arial"/>
        </w:rPr>
        <w:t xml:space="preserve"> coalition of natural gas producers and marketers.  In these Comments, Chevron addresses issues related to its particular interests in California natural gas production.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Arial" w:hAnsi="Arial;Arial" w:cs="Arial;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960" w:leader="none"/>
        <w:tab w:val="right" w:pos="9000" w:leader="none"/>
      </w:tabs>
      <w:outlineLvl w:val="0"/>
    </w:pPr>
    <w:rPr>
      <w:rFonts w:ascii="Arial;Arial" w:hAnsi="Arial;Arial" w:cs="Arial;Arial"/>
      <w:b/>
      <w:bCs/>
    </w:rPr>
  </w:style>
  <w:style w:type="paragraph" w:styleId="Heading2">
    <w:name w:val="heading 2"/>
    <w:basedOn w:val="Normal"/>
    <w:next w:val="Normal"/>
    <w:qFormat/>
    <w:pPr>
      <w:keepNext w:val="true"/>
      <w:numPr>
        <w:ilvl w:val="0"/>
        <w:numId w:val="2"/>
      </w:numPr>
      <w:spacing w:before="240" w:after="60"/>
      <w:outlineLvl w:val="1"/>
    </w:pPr>
    <w:rPr>
      <w:rFonts w:ascii="Arial;Arial" w:hAnsi="Arial;Arial" w:cs="Arial;Arial"/>
      <w:b/>
      <w:bCs/>
      <w:i/>
      <w:iCs/>
      <w:sz w:val="28"/>
      <w:szCs w:val="28"/>
    </w:rPr>
  </w:style>
  <w:style w:type="paragraph" w:styleId="Heading3">
    <w:name w:val="heading 3"/>
    <w:basedOn w:val="Normal"/>
    <w:next w:val="Normal"/>
    <w:qFormat/>
    <w:pPr>
      <w:keepNext w:val="true"/>
      <w:numPr>
        <w:ilvl w:val="0"/>
        <w:numId w:val="2"/>
      </w:numPr>
      <w:spacing w:before="240" w:after="60"/>
      <w:outlineLvl w:val="2"/>
    </w:pPr>
    <w:rPr>
      <w:rFonts w:ascii="Arial;Arial" w:hAnsi="Arial;Arial" w:cs="Arial;Arial"/>
      <w:b/>
      <w:bCs/>
      <w:sz w:val="26"/>
      <w:szCs w:val="26"/>
    </w:rPr>
  </w:style>
  <w:style w:type="paragraph" w:styleId="Heading4">
    <w:name w:val="heading 4"/>
    <w:basedOn w:val="Normal"/>
    <w:next w:val="Normal"/>
    <w:qFormat/>
    <w:pPr>
      <w:keepNext w:val="true"/>
      <w:numPr>
        <w:ilvl w:val="0"/>
        <w:numId w:val="2"/>
      </w:numPr>
      <w:spacing w:before="240" w:after="60"/>
      <w:outlineLvl w:val="3"/>
    </w:pPr>
    <w:rPr>
      <w:b/>
      <w:bCs/>
      <w:sz w:val="28"/>
      <w:szCs w:val="28"/>
    </w:rPr>
  </w:style>
  <w:style w:type="paragraph" w:styleId="Heading5">
    <w:name w:val="heading 5"/>
    <w:basedOn w:val="Normal"/>
    <w:next w:val="Normal"/>
    <w:qFormat/>
    <w:pPr>
      <w:numPr>
        <w:ilvl w:val="0"/>
        <w:numId w:val="2"/>
      </w:numPr>
      <w:spacing w:before="240" w:after="60"/>
      <w:outlineLvl w:val="4"/>
    </w:pPr>
    <w:rPr>
      <w:b/>
      <w:bCs/>
      <w:i/>
      <w:iCs/>
      <w:sz w:val="26"/>
      <w:szCs w:val="26"/>
    </w:rPr>
  </w:style>
  <w:style w:type="paragraph" w:styleId="Heading6">
    <w:name w:val="heading 6"/>
    <w:basedOn w:val="Normal"/>
    <w:next w:val="Normal"/>
    <w:qFormat/>
    <w:pPr>
      <w:numPr>
        <w:ilvl w:val="0"/>
        <w:numId w:val="2"/>
      </w:numPr>
      <w:spacing w:before="240" w:after="60"/>
      <w:outlineLvl w:val="5"/>
    </w:pPr>
    <w:rPr>
      <w:b/>
      <w:bCs/>
      <w:sz w:val="22"/>
      <w:szCs w:val="22"/>
    </w:rPr>
  </w:style>
  <w:style w:type="paragraph" w:styleId="Heading7">
    <w:name w:val="heading 7"/>
    <w:basedOn w:val="Normal"/>
    <w:next w:val="Normal"/>
    <w:qFormat/>
    <w:pPr>
      <w:numPr>
        <w:ilvl w:val="0"/>
        <w:numId w:val="2"/>
      </w:numPr>
      <w:spacing w:before="240" w:after="60"/>
      <w:outlineLvl w:val="6"/>
    </w:pPr>
    <w:rPr/>
  </w:style>
  <w:style w:type="paragraph" w:styleId="Heading8">
    <w:name w:val="heading 8"/>
    <w:basedOn w:val="Normal"/>
    <w:next w:val="Normal"/>
    <w:qFormat/>
    <w:pPr>
      <w:numPr>
        <w:ilvl w:val="0"/>
        <w:numId w:val="2"/>
      </w:numPr>
      <w:spacing w:before="240" w:after="60"/>
      <w:outlineLvl w:val="7"/>
    </w:pPr>
    <w:rPr>
      <w:i/>
      <w:iCs/>
    </w:rPr>
  </w:style>
  <w:style w:type="paragraph" w:styleId="Heading9">
    <w:name w:val="heading 9"/>
    <w:basedOn w:val="Normal"/>
    <w:next w:val="Normal"/>
    <w:qFormat/>
    <w:pPr>
      <w:numPr>
        <w:ilvl w:val="0"/>
        <w:numId w:val="2"/>
      </w:numPr>
      <w:spacing w:before="240" w:after="60"/>
      <w:outlineLvl w:val="8"/>
    </w:pPr>
    <w:rPr>
      <w:rFonts w:ascii="Arial;Arial" w:hAnsi="Arial;Arial" w:cs="Arial;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Arial" w:hAnsi="Arial;Arial" w:cs="Arial;Arial"/>
      <w:b/>
      <w:i w:val="false"/>
      <w:caps w:val="false"/>
      <w:smallCaps w:val="false"/>
      <w:strike w:val="false"/>
      <w:dstrike w:val="false"/>
      <w:outline w:val="false"/>
      <w:shadow w:val="false"/>
      <w:vanish w:val="false"/>
      <w:position w:val="0"/>
      <w:sz w:val="24"/>
      <w:sz w:val="24"/>
      <w:vertAlign w:val="baseline"/>
    </w:rPr>
  </w:style>
  <w:style w:type="character" w:styleId="WW8Num11z1">
    <w:name w:val="WW8Num11z1"/>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Arial" w:hAnsi="Arial;Arial" w:cs="Arial;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Arial" w:hAnsi="Arial;Arial" w:cs="Arial;Arial"/>
      <w:b/>
      <w:szCs w:val="20"/>
    </w:rPr>
  </w:style>
  <w:style w:type="paragraph" w:styleId="i">
    <w:name w:val="i."/>
    <w:basedOn w:val="Heading9"/>
    <w:qFormat/>
    <w:pPr>
      <w:numPr>
        <w:ilvl w:val="0"/>
        <w:numId w:val="2"/>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leading">
    <w:name w:val="Pleading"/>
    <w:basedOn w:val="Normal"/>
    <w:qFormat/>
    <w:pPr>
      <w:numPr>
        <w:ilvl w:val="0"/>
        <w:numId w:val="2"/>
      </w:numPr>
    </w:pPr>
    <w:rPr>
      <w:rFonts w:ascii="Arial;Arial" w:hAnsi="Arial;Arial" w:cs="Arial;Arial"/>
    </w:rPr>
  </w:style>
  <w:style w:type="paragraph" w:styleId="Signature">
    <w:name w:val="Signature"/>
    <w:basedOn w:val="Normal"/>
    <w:pPr>
      <w:ind w:hanging="0" w:start="4320" w:end="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e@aelaw.com" TargetMode="External"/><Relationship Id="rId3" Type="http://schemas.openxmlformats.org/officeDocument/2006/relationships/hyperlink" Target="mailto:chj@aelaw.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eke@aelaw.com" TargetMode="External"/><Relationship Id="rId7" Type="http://schemas.openxmlformats.org/officeDocument/2006/relationships/hyperlink" Target="mailto:chj@aelaw.com" TargetMode="Externa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CPUC Pleading.dot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2000-12-11T22:48:00Z</dcterms:created>
  <dc:creator>Alcantar &amp; Elsesser LLP</dc:creator>
  <dc:description/>
  <dc:language>en-CA</dc:language>
  <cp:lastModifiedBy>Alcantar &amp; Elsesser LLP</cp:lastModifiedBy>
  <cp:lastPrinted>2000-12-11T14:05:00Z</cp:lastPrinted>
  <dcterms:modified xsi:type="dcterms:W3CDTF">2000-12-11T22:48:00Z</dcterms:modified>
  <cp:revision>2</cp:revision>
  <dc:subject/>
  <dc:title>BEFORE THE PUBLIC UTILITIES COMMISSION</dc:title>
</cp:coreProperties>
</file>