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Taiwan Government Regulatory Profile: Telecommunication and IT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b/>
        </w:rPr>
        <w:t>History of Deregulation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Prior to 1993, the telecommunication market was both regulated and operated by the Ministry of Post and Telecommunications  (MPT, now the Ministry of Information Industries, the MII).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1993 – Chinese government approved the establishment of a small number of MPT-affiliated state enterprises to compete with MII’s own China Telecom.  The government also opened up numbers of sectors of telecommunications industry to certain domestic companies.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1994 – China Telecom was hived off from MII, but still receives favorable treatment from MII. China Telecom has since then separated into 3 separate entities: China Telecom (fixed line), China Mobile (mobile) and China Satellite.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1994 – China United Telecommunications Corp. (Unicom) and Jitong Telecom was formed with state council approval to provide competition to China Telecom.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 xml:space="preserve">1998 –  Foreign companies were only permitted to engage in equipment manufacturing and technology licensing.  Foreign investors adopted a structure called “China-China-Foreign” (CCF) with Unicom to overcome the restriction on foreign investment, but the CCF was later declared illegal by the MII.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5"/>
        </w:numPr>
        <w:tabs>
          <w:tab w:val="left" w:pos="720" w:leader="none"/>
        </w:tabs>
        <w:ind w:hanging="360" w:start="720" w:end="0"/>
        <w:rPr/>
      </w:pPr>
      <w:r>
        <w:rPr/>
        <w:t>2000 – As a prerequisite for entry into the WTO, China issued the PRC Telecommunications Regulations, which established a comprehensive legal framework for licensing and regulating telecoms operators.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5"/>
        </w:numPr>
        <w:rPr>
          <w:b/>
        </w:rPr>
      </w:pPr>
      <w:r>
        <w:rPr>
          <w:b/>
        </w:rPr>
        <w:t>Licensing Framework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360" w:end="0"/>
        <w:rPr/>
      </w:pPr>
      <w:r>
        <w:rPr/>
        <w:t>2.1 Licenses are separated between basic service and value-added service: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1"/>
          <w:numId w:val="6"/>
        </w:numPr>
        <w:rPr/>
      </w:pPr>
      <w:r>
        <w:rPr/>
        <w:t>Category I - Basic service</w:t>
      </w:r>
    </w:p>
    <w:p>
      <w:pPr>
        <w:pStyle w:val="Normal"/>
        <w:ind w:start="63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Definition:  Operators of  “proprietary networks”, include basic telephony, mobile, satellite, internet/multimedia network services, public data transmission services, and  leasing and sale of circuits and other network elements.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 xml:space="preserve">Scope: Foreign companies will be allowed to hold 25% equity interest in PRC mobile and fixed network companies.  The percentage will increase to 35% after one year and 49% after three years.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Tariffs : May be a fixed price set by the government or a suggested range of prices within which the operator can determine the actual tariff.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>Obligations: For mobile and fixed line services, foreign partners must have US$10 billion in annual revenue.  Chinese partners must be licensed state-owned companies with two years experience and annual revenues of 3 billion RMB (US$ 362 million).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 xml:space="preserve">Leasing market will be opened over 3 year period, allowing foreign companies to buy capacity from Chinese operators and resell it on for local and non-local trades.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"/>
        </w:numPr>
        <w:rPr/>
      </w:pPr>
      <w:r>
        <w:rPr/>
        <w:t xml:space="preserve">Foreign investors will be allowed to participate in and establish intra-city and inter-city telecommunication services network without regional limitations. 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6"/>
        </w:numPr>
        <w:rPr/>
      </w:pPr>
      <w:r>
        <w:rPr/>
        <w:t>Category II - Value-added service</w:t>
      </w:r>
    </w:p>
    <w:p>
      <w:pPr>
        <w:pStyle w:val="Normal"/>
        <w:ind w:start="630" w:end="0"/>
        <w:rPr/>
      </w:pPr>
      <w:r>
        <w:rPr/>
      </w:r>
    </w:p>
    <w:p>
      <w:pPr>
        <w:pStyle w:val="Normal"/>
        <w:numPr>
          <w:ilvl w:val="1"/>
          <w:numId w:val="4"/>
        </w:numPr>
        <w:rPr/>
      </w:pPr>
      <w:r>
        <w:rPr/>
        <w:t>Definition: Operators of “non-proprietary network”, who provide information and other related services over the Internet and multimedia networks, paging, value-added telecom services and the reselling of traditional telecom services.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1"/>
          <w:numId w:val="4"/>
        </w:numPr>
        <w:rPr/>
      </w:pPr>
      <w:r>
        <w:rPr/>
        <w:t>Scope: Foreign companies will be allowed to hold 30% equity and the percentage will increase to 49% after one year and 50% after two years. For Internet firms, China has pledged faster opening with 49% foreign ownership on WTO entry and 50% a year afterwards.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4"/>
        </w:numPr>
        <w:rPr/>
      </w:pPr>
      <w:r>
        <w:rPr/>
        <w:t>Tariffs:  May be based on prices determined or at least “guided” by the government.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4"/>
        </w:numPr>
        <w:rPr/>
      </w:pPr>
      <w:r>
        <w:rPr/>
        <w:t>Content: Strict regulations on content supervision. Portals and ISPs will be held responsible for what appears on their sites.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b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  <w:lang w:eastAsia="en-US"/>
      </w:rPr>
    </w:pPr>
    <w:r>
      <w:rPr>
        <w:rFonts w:cs="Arial" w:ascii="Arial" w:hAnsi="Arial"/>
        <w:sz w:val="12"/>
        <w:lang w:eastAsia="en-US"/>
      </w:rPr>
      <w:fldChar w:fldCharType="begin"/>
    </w:r>
    <w:r>
      <w:rPr>
        <w:sz w:val="12"/>
        <w:rFonts w:cs="Arial" w:ascii="Arial" w:hAnsi="Arial"/>
        <w:lang w:eastAsia="en-US"/>
      </w:rPr>
      <w:instrText xml:space="preserve"> FILENAME </w:instrText>
    </w:r>
    <w:r>
      <w:rPr>
        <w:sz w:val="12"/>
        <w:rFonts w:cs="Arial" w:ascii="Arial" w:hAnsi="Arial"/>
        <w:lang w:eastAsia="en-US"/>
      </w:rPr>
      <w:fldChar w:fldCharType="separate"/>
    </w:r>
    <w:r>
      <w:rPr>
        <w:sz w:val="12"/>
        <w:rFonts w:cs="Arial" w:ascii="Arial" w:hAnsi="Arial"/>
        <w:lang w:eastAsia="en-US"/>
      </w:rPr>
      <w:t>china_Regulatory_Profile.doc</w:t>
    </w:r>
    <w:r>
      <w:rPr>
        <w:sz w:val="12"/>
        <w:rFonts w:cs="Arial" w:ascii="Arial" w:hAnsi="Arial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 xml:space="preserve">Enron Broadband Service </w:t>
    </w:r>
  </w:p>
  <w:p>
    <w:pPr>
      <w:pStyle w:val="Head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 xml:space="preserve">Confidential </w:t>
    </w:r>
  </w:p>
  <w:p>
    <w:pPr>
      <w:pStyle w:val="Head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 xml:space="preserve">Prepared by Xi Xi, EBS regulatory affairs </w:t>
    </w:r>
  </w:p>
  <w:p>
    <w:pPr>
      <w:pStyle w:val="Head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t>Version Date: Jan 12, 2001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"/>
      <w:lvlJc w:val="start"/>
      <w:pPr>
        <w:tabs>
          <w:tab w:val="num" w:pos="900"/>
        </w:tabs>
        <w:ind w:start="900" w:hanging="900"/>
      </w:pPr>
      <w:rPr/>
    </w:lvl>
    <w:lvl w:ilvl="1">
      <w:start w:val="111"/>
      <w:numFmt w:val="decimal"/>
      <w:lvlText w:val="%1.%2"/>
      <w:lvlJc w:val="start"/>
      <w:pPr>
        <w:tabs>
          <w:tab w:val="num" w:pos="1980"/>
        </w:tabs>
        <w:ind w:start="1980" w:hanging="900"/>
      </w:pPr>
      <w:rPr/>
    </w:lvl>
    <w:lvl w:ilvl="2">
      <w:start w:val="1"/>
      <w:numFmt w:val="decimal"/>
      <w:lvlText w:val="%1.%2.%3"/>
      <w:lvlJc w:val="start"/>
      <w:pPr>
        <w:tabs>
          <w:tab w:val="num" w:pos="3060"/>
        </w:tabs>
        <w:ind w:start="3060" w:hanging="900"/>
      </w:pPr>
      <w:rPr/>
    </w:lvl>
    <w:lvl w:ilvl="3">
      <w:start w:val="1"/>
      <w:numFmt w:val="decimal"/>
      <w:lvlText w:val="%1.%2.%3.%4"/>
      <w:lvlJc w:val="start"/>
      <w:pPr>
        <w:tabs>
          <w:tab w:val="num" w:pos="4140"/>
        </w:tabs>
        <w:ind w:start="4140" w:hanging="900"/>
      </w:pPr>
      <w:rPr/>
    </w:lvl>
    <w:lvl w:ilvl="4">
      <w:start w:val="1"/>
      <w:numFmt w:val="decimal"/>
      <w:lvlText w:val="%1.%2.%3.%4.%5"/>
      <w:lvlJc w:val="start"/>
      <w:pPr>
        <w:tabs>
          <w:tab w:val="num" w:pos="5220"/>
        </w:tabs>
        <w:ind w:start="5220" w:hanging="900"/>
      </w:pPr>
      <w:rPr/>
    </w:lvl>
    <w:lvl w:ilvl="5">
      <w:start w:val="1"/>
      <w:numFmt w:val="decimal"/>
      <w:lvlText w:val="%1.%2.%3.%4.%5.%6"/>
      <w:lvlJc w:val="start"/>
      <w:pPr>
        <w:tabs>
          <w:tab w:val="num" w:pos="6480"/>
        </w:tabs>
        <w:ind w:start="64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7560"/>
        </w:tabs>
        <w:ind w:start="756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9000"/>
        </w:tabs>
        <w:ind w:start="900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080"/>
        </w:tabs>
        <w:ind w:start="10080" w:hanging="1440"/>
      </w:pPr>
      <w:rPr/>
    </w:lvl>
  </w:abstractNum>
  <w:abstractNum w:abstractNumId="3">
    <w:lvl w:ilvl="0">
      <w:start w:val="3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3240"/>
        </w:tabs>
        <w:ind w:start="324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4">
    <w:lvl w:ilvl="0">
      <w:start w:val="2"/>
      <w:numFmt w:val="decimal"/>
      <w:lvlText w:val="%1"/>
      <w:lvlJc w:val="start"/>
      <w:pPr>
        <w:tabs>
          <w:tab w:val="num" w:pos="1080"/>
        </w:tabs>
        <w:ind w:start="1080" w:hanging="1080"/>
      </w:pPr>
      <w:rPr/>
    </w:lvl>
    <w:lvl w:ilvl="1">
      <w:start w:val="121"/>
      <w:numFmt w:val="decimal"/>
      <w:lvlText w:val="%1.%2"/>
      <w:lvlJc w:val="start"/>
      <w:pPr>
        <w:tabs>
          <w:tab w:val="num" w:pos="2160"/>
        </w:tabs>
        <w:ind w:start="2160" w:hanging="1080"/>
      </w:pPr>
      <w:rPr/>
    </w:lvl>
    <w:lvl w:ilvl="2">
      <w:start w:val="1"/>
      <w:numFmt w:val="decimal"/>
      <w:lvlText w:val="%1.%2.%3"/>
      <w:lvlJc w:val="start"/>
      <w:pPr>
        <w:tabs>
          <w:tab w:val="num" w:pos="3240"/>
        </w:tabs>
        <w:ind w:start="3240" w:hanging="1080"/>
      </w:pPr>
      <w:rPr/>
    </w:lvl>
    <w:lvl w:ilvl="3">
      <w:start w:val="1"/>
      <w:numFmt w:val="decimal"/>
      <w:lvlText w:val="%1.%2.%3.%4"/>
      <w:lvlJc w:val="start"/>
      <w:pPr>
        <w:tabs>
          <w:tab w:val="num" w:pos="4320"/>
        </w:tabs>
        <w:ind w:start="4320" w:hanging="1080"/>
      </w:pPr>
      <w:rPr/>
    </w:lvl>
    <w:lvl w:ilvl="4">
      <w:start w:val="1"/>
      <w:numFmt w:val="decimal"/>
      <w:lvlText w:val="%1.%2.%3.%4.%5"/>
      <w:lvlJc w:val="start"/>
      <w:pPr>
        <w:tabs>
          <w:tab w:val="num" w:pos="5400"/>
        </w:tabs>
        <w:ind w:start="540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6480"/>
        </w:tabs>
        <w:ind w:start="64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7560"/>
        </w:tabs>
        <w:ind w:start="756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9000"/>
        </w:tabs>
        <w:ind w:start="900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0080"/>
        </w:tabs>
        <w:ind w:start="10080" w:hanging="144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isLgl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isLgl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isLgl/>
      <w:numFmt w:val="decimal"/>
      <w:lvlText w:val="%1.%2.%3.%4.%5"/>
      <w:lvlJc w:val="start"/>
      <w:pPr>
        <w:tabs>
          <w:tab w:val="num" w:pos="720"/>
        </w:tabs>
        <w:ind w:start="720" w:hanging="720"/>
      </w:pPr>
      <w:rPr/>
    </w:lvl>
    <w:lvl w:ilvl="5">
      <w:start w:val="1"/>
      <w:isLgl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isLgl/>
      <w:numFmt w:val="decimal"/>
      <w:lvlText w:val="%1.%2.%3.%4.%5.%6.%7"/>
      <w:lvlJc w:val="start"/>
      <w:pPr>
        <w:tabs>
          <w:tab w:val="num" w:pos="1080"/>
        </w:tabs>
        <w:ind w:start="1080" w:hanging="1080"/>
      </w:pPr>
      <w:rPr/>
    </w:lvl>
    <w:lvl w:ilvl="7">
      <w:start w:val="1"/>
      <w:isLgl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isLgl/>
      <w:numFmt w:val="decimal"/>
      <w:lvlText w:val="%1.%2.%3.%4.%5.%6.%7.%8.%9"/>
      <w:lvlJc w:val="start"/>
      <w:pPr>
        <w:tabs>
          <w:tab w:val="num" w:pos="1440"/>
        </w:tabs>
        <w:ind w:start="1440" w:hanging="1440"/>
      </w:pPr>
      <w:rPr/>
    </w:lvl>
  </w:abstractNum>
  <w:abstractNum w:abstractNumId="6">
    <w:lvl w:ilvl="0">
      <w:start w:val="2"/>
      <w:numFmt w:val="decimal"/>
      <w:lvlText w:val="%1"/>
      <w:lvlJc w:val="start"/>
      <w:pPr>
        <w:tabs>
          <w:tab w:val="num" w:pos="435"/>
        </w:tabs>
        <w:ind w:start="435" w:hanging="435"/>
      </w:pPr>
      <w:rPr/>
    </w:lvl>
    <w:lvl w:ilvl="1">
      <w:start w:val="11"/>
      <w:numFmt w:val="decimal"/>
      <w:lvlText w:val="%1.%2"/>
      <w:lvlJc w:val="start"/>
      <w:pPr>
        <w:tabs>
          <w:tab w:val="num" w:pos="1065"/>
        </w:tabs>
        <w:ind w:start="1065" w:hanging="435"/>
      </w:pPr>
      <w:rPr/>
    </w:lvl>
    <w:lvl w:ilvl="2">
      <w:start w:val="1"/>
      <w:numFmt w:val="decimal"/>
      <w:lvlText w:val="%1.%2.%3"/>
      <w:lvlJc w:val="start"/>
      <w:pPr>
        <w:tabs>
          <w:tab w:val="num" w:pos="1980"/>
        </w:tabs>
        <w:ind w:start="198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610"/>
        </w:tabs>
        <w:ind w:start="261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240"/>
        </w:tabs>
        <w:ind w:start="324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230"/>
        </w:tabs>
        <w:ind w:start="423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4860"/>
        </w:tabs>
        <w:ind w:start="486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5850"/>
        </w:tabs>
        <w:ind w:start="585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6480"/>
        </w:tabs>
        <w:ind w:start="648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outlineLvl w:val="1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260" w:start="1980" w:end="0"/>
    </w:pPr>
    <w:rPr/>
  </w:style>
  <w:style w:type="paragraph" w:styleId="BodyTextIndent2">
    <w:name w:val="Body Text Indent 2"/>
    <w:basedOn w:val="Normal"/>
    <w:qFormat/>
    <w:pPr>
      <w:tabs>
        <w:tab w:val="left" w:pos="720" w:leader="none"/>
      </w:tabs>
      <w:ind w:hanging="360" w:start="720" w:end="0"/>
    </w:pPr>
    <w:rPr/>
  </w:style>
  <w:style w:type="paragraph" w:styleId="BodyTextIndent3">
    <w:name w:val="Body Text Indent 3"/>
    <w:basedOn w:val="Normal"/>
    <w:qFormat/>
    <w:pPr>
      <w:keepLines/>
      <w:spacing w:lineRule="atLeast" w:line="240"/>
      <w:ind w:hanging="540" w:start="171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2001-01-12T19:52:00Z</dcterms:created>
  <dc:creator>xi_xi</dc:creator>
  <dc:description/>
  <dc:language>en-CA</dc:language>
  <cp:lastModifiedBy>xi_xi</cp:lastModifiedBy>
  <cp:lastPrinted>2001-01-08T16:30:00Z</cp:lastPrinted>
  <dcterms:modified xsi:type="dcterms:W3CDTF">2001-01-12T22:03:00Z</dcterms:modified>
  <cp:revision>9</cp:revision>
  <dc:subject/>
  <dc:title>Japanese Government Regulatory Profile: Telecommunication and IT</dc:title>
</cp:coreProperties>
</file>