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ANNEX I</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ab/>
        <w:t xml:space="preserve">This Annex I forms a part of the Master Repurchase Agreement dated as of January 29, 1998 (as the same may be amended, modified or supplemented from time to time, the "Agreement") between The Chase Manhattan Bank ("Party A") and Enron Capital &amp; Trade Resources Corp. ("Party B").  Capitalized terms used but not defined in this Annex I shall have the meanings ascribed to them in the Agreement.  </w:t>
      </w:r>
    </w:p>
    <w:p>
      <w:pPr>
        <w:pStyle w:val="Normal"/>
        <w:jc w:val="both"/>
        <w:rPr>
          <w:sz w:val="22"/>
        </w:rPr>
      </w:pPr>
      <w:r>
        <w:rPr>
          <w:sz w:val="22"/>
        </w:rPr>
      </w:r>
    </w:p>
    <w:p>
      <w:pPr>
        <w:pStyle w:val="Normal"/>
        <w:ind w:hanging="720" w:start="720" w:end="0"/>
        <w:jc w:val="both"/>
        <w:rPr/>
      </w:pPr>
      <w:r>
        <w:rPr>
          <w:sz w:val="22"/>
        </w:rPr>
        <w:t>1.</w:t>
        <w:tab/>
      </w:r>
      <w:r>
        <w:rPr>
          <w:sz w:val="22"/>
          <w:u w:val="single"/>
        </w:rPr>
        <w:t>Other Applicable Annexes</w:t>
      </w:r>
      <w:r>
        <w:rPr>
          <w:sz w:val="22"/>
        </w:rPr>
        <w:t>.  In addition to this Annex I and Annex II, the following Annexes and any Schedules thereto shall form a part of the Agreement and shall be applicable thereunder:</w:t>
      </w:r>
    </w:p>
    <w:p>
      <w:pPr>
        <w:pStyle w:val="Normal"/>
        <w:jc w:val="both"/>
        <w:rPr>
          <w:sz w:val="22"/>
        </w:rPr>
      </w:pPr>
      <w:r>
        <w:rPr>
          <w:sz w:val="22"/>
        </w:rPr>
      </w:r>
    </w:p>
    <w:p>
      <w:pPr>
        <w:pStyle w:val="Normal"/>
        <w:ind w:start="720" w:end="0"/>
        <w:jc w:val="both"/>
        <w:rPr>
          <w:sz w:val="22"/>
        </w:rPr>
      </w:pPr>
      <w:r>
        <w:rPr>
          <w:sz w:val="22"/>
        </w:rPr>
        <w:t>Annex III (International Transactions)</w:t>
      </w:r>
    </w:p>
    <w:p>
      <w:pPr>
        <w:pStyle w:val="Normal"/>
        <w:ind w:start="720" w:end="0"/>
        <w:jc w:val="both"/>
        <w:rPr>
          <w:sz w:val="22"/>
        </w:rPr>
      </w:pPr>
      <w:r>
        <w:rPr>
          <w:sz w:val="22"/>
        </w:rPr>
        <w:t>Schedule III .A (International Transactions Relating to Canada)</w:t>
      </w:r>
    </w:p>
    <w:p>
      <w:pPr>
        <w:pStyle w:val="Normal"/>
        <w:jc w:val="both"/>
        <w:rPr>
          <w:sz w:val="22"/>
        </w:rPr>
      </w:pPr>
      <w:r>
        <w:rPr>
          <w:sz w:val="22"/>
        </w:rPr>
      </w:r>
    </w:p>
    <w:p>
      <w:pPr>
        <w:pStyle w:val="Normal"/>
        <w:ind w:hanging="720" w:start="720" w:end="0"/>
        <w:jc w:val="both"/>
        <w:rPr/>
      </w:pPr>
      <w:r>
        <w:rPr>
          <w:sz w:val="22"/>
        </w:rPr>
        <w:t>2.</w:t>
        <w:tab/>
      </w:r>
      <w:r>
        <w:rPr>
          <w:sz w:val="22"/>
          <w:u w:val="single"/>
        </w:rPr>
        <w:t>Definitions</w:t>
      </w:r>
      <w:r>
        <w:rPr>
          <w:sz w:val="22"/>
        </w:rPr>
        <w:t>.  For purposes of the Agreement and this Annex I, the following terms shall have the following meaning:</w:t>
      </w:r>
    </w:p>
    <w:p>
      <w:pPr>
        <w:pStyle w:val="Normal"/>
        <w:jc w:val="both"/>
        <w:rPr>
          <w:sz w:val="22"/>
        </w:rPr>
      </w:pPr>
      <w:r>
        <w:rPr>
          <w:sz w:val="22"/>
        </w:rPr>
      </w:r>
    </w:p>
    <w:p>
      <w:pPr>
        <w:pStyle w:val="Normal"/>
        <w:ind w:start="720" w:end="0"/>
        <w:jc w:val="both"/>
        <w:rPr>
          <w:sz w:val="22"/>
        </w:rPr>
      </w:pPr>
      <w:r>
        <w:rPr>
          <w:sz w:val="22"/>
        </w:rPr>
        <w:t>"Margin Notice Deadline" shall mean 10:00 a.m. (New York City time)</w:t>
      </w:r>
    </w:p>
    <w:p>
      <w:pPr>
        <w:pStyle w:val="Normal"/>
        <w:jc w:val="both"/>
        <w:rPr>
          <w:sz w:val="22"/>
        </w:rPr>
      </w:pPr>
      <w:r>
        <w:rPr>
          <w:sz w:val="22"/>
        </w:rPr>
      </w:r>
    </w:p>
    <w:p>
      <w:pPr>
        <w:pStyle w:val="Normal"/>
        <w:ind w:start="720" w:end="0"/>
        <w:jc w:val="both"/>
        <w:rPr>
          <w:sz w:val="22"/>
        </w:rPr>
      </w:pPr>
      <w:r>
        <w:rPr>
          <w:sz w:val="22"/>
        </w:rPr>
        <w:t>"Relevant Jurisdiction" shall mean, with respect to a party, the jurisdictions (i) in which the party is incorporated, organized, managed and controlled or considered to have its seat, (ii) where an office through which the party is acting for purposes of this Agreement is located, (iii) in which the party executes this Agreement and (iv) in relation to any payment, from or through which such payment is made.</w:t>
      </w:r>
    </w:p>
    <w:p>
      <w:pPr>
        <w:pStyle w:val="Normal"/>
        <w:ind w:start="720" w:end="0"/>
        <w:jc w:val="both"/>
        <w:rPr>
          <w:sz w:val="22"/>
        </w:rPr>
      </w:pPr>
      <w:r>
        <w:rPr>
          <w:sz w:val="22"/>
        </w:rPr>
      </w:r>
    </w:p>
    <w:p>
      <w:pPr>
        <w:pStyle w:val="Normal"/>
        <w:ind w:hanging="720" w:start="720" w:end="0"/>
        <w:jc w:val="both"/>
        <w:rPr/>
      </w:pPr>
      <w:r>
        <w:rPr>
          <w:sz w:val="22"/>
        </w:rPr>
        <w:t>3.</w:t>
        <w:tab/>
      </w:r>
      <w:r>
        <w:rPr>
          <w:sz w:val="22"/>
          <w:u w:val="single"/>
        </w:rPr>
        <w:t>Confirmation and Recording</w:t>
      </w:r>
      <w:r>
        <w:rPr>
          <w:sz w:val="22"/>
        </w:rPr>
        <w:t>.  (a)  Unless otherwise agreed, on or promptly following the date on which the parties reach agreement on the terms of a Transaction as contemplated by Paragraph 3(b) of the Agreement, Party A will send to Party B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Normal"/>
        <w:ind w:hanging="720" w:start="720" w:end="0"/>
        <w:jc w:val="both"/>
        <w:rPr>
          <w:sz w:val="22"/>
        </w:rPr>
      </w:pPr>
      <w:r>
        <w:rPr>
          <w:sz w:val="22"/>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jc w:val="both"/>
        <w:rPr/>
      </w:pPr>
      <w:r>
        <w:rPr>
          <w:sz w:val="22"/>
        </w:rPr>
        <w:t>4.</w:t>
        <w:tab/>
      </w:r>
      <w:r>
        <w:rPr>
          <w:sz w:val="22"/>
          <w:u w:val="single"/>
        </w:rPr>
        <w:t>Substitution</w:t>
      </w:r>
      <w:r>
        <w:rPr>
          <w:sz w:val="22"/>
        </w:rPr>
        <w:t>.  Paragraph 9(b) is hereby deleted in its entirety.</w:t>
      </w:r>
    </w:p>
    <w:p>
      <w:pPr>
        <w:pStyle w:val="Normal"/>
        <w:jc w:val="both"/>
        <w:rPr>
          <w:sz w:val="22"/>
        </w:rPr>
      </w:pPr>
      <w:r>
        <w:rPr>
          <w:sz w:val="22"/>
        </w:rPr>
      </w:r>
    </w:p>
    <w:p>
      <w:pPr>
        <w:pStyle w:val="Normal"/>
        <w:spacing w:lineRule="atLeast" w:line="240"/>
        <w:ind w:hanging="720" w:start="720" w:end="0"/>
        <w:jc w:val="both"/>
        <w:rPr/>
      </w:pPr>
      <w:r>
        <w:rPr>
          <w:sz w:val="22"/>
        </w:rPr>
        <w:t>5.</w:t>
        <w:tab/>
      </w:r>
      <w:r>
        <w:rPr>
          <w:sz w:val="22"/>
          <w:u w:val="single"/>
        </w:rPr>
        <w:t>Tax Representations and Covenants</w:t>
      </w:r>
      <w:r>
        <w:rPr>
          <w:sz w:val="22"/>
        </w:rPr>
        <w:t>.  In addition to the representations and warranties set forth in the Agreement, the following representations are made a part of the Agreement:</w:t>
      </w:r>
    </w:p>
    <w:p>
      <w:pPr>
        <w:pStyle w:val="Normal"/>
        <w:spacing w:lineRule="atLeast" w:line="240"/>
        <w:ind w:start="720" w:end="720"/>
        <w:jc w:val="both"/>
        <w:rPr>
          <w:sz w:val="22"/>
        </w:rPr>
      </w:pPr>
      <w:r>
        <w:rPr>
          <w:sz w:val="22"/>
        </w:rPr>
      </w:r>
    </w:p>
    <w:p>
      <w:pPr>
        <w:pStyle w:val="Normal"/>
        <w:spacing w:lineRule="atLeast" w:line="240"/>
        <w:ind w:hanging="720" w:start="1440" w:end="720"/>
        <w:jc w:val="both"/>
        <w:rPr/>
      </w:pPr>
      <w:r>
        <w:rPr>
          <w:sz w:val="22"/>
        </w:rPr>
        <w:t>(a)</w:t>
        <w:tab/>
        <w:t xml:space="preserve">Each party hereby represents that it is not required by any applicable law, rule, or regulation, as modified by the practice of any relevant governmental revenue authority, of any Relevant Jurisdiction to make any deduction or withholding for or on account of any taxes or duties whatsoever from any payment to be made by it to the other party under the Agreement.  In making this representation, it may rely on (x) the accuracy of any representations made by the other party pursuant to Paragraph 5(b) and (c) of this Annex I, and (y) the satisfaction of the agreements contained in, and the accuracy and effectiveness of any document provided by the other party pursuant to, Paragraph 5(d) of this Annex I or Paragraph 5(b) of Annex III, </w:t>
      </w:r>
      <w:r>
        <w:rPr>
          <w:i/>
          <w:sz w:val="22"/>
        </w:rPr>
        <w:t>provided</w:t>
      </w:r>
      <w:r>
        <w:rPr>
          <w:sz w:val="22"/>
        </w:rPr>
        <w:t xml:space="preserve"> that it shall not be a breach of this representation where the other party does not deliver a form or document under Paragraph 5(d) of this Annex I or Paragraph 5(b) of Annex III by reason of material prejudice to its legal or commercial position.</w:t>
      </w:r>
    </w:p>
    <w:p>
      <w:pPr>
        <w:pStyle w:val="Normal"/>
        <w:spacing w:lineRule="atLeast" w:line="240"/>
        <w:ind w:hanging="720" w:start="1440" w:end="720"/>
        <w:jc w:val="both"/>
        <w:rPr>
          <w:sz w:val="22"/>
        </w:rPr>
      </w:pPr>
      <w:r>
        <w:rPr>
          <w:sz w:val="22"/>
        </w:rPr>
      </w:r>
    </w:p>
    <w:p>
      <w:pPr>
        <w:pStyle w:val="Normal"/>
        <w:ind w:hanging="720" w:start="1440" w:end="720"/>
        <w:jc w:val="both"/>
        <w:rPr>
          <w:sz w:val="22"/>
        </w:rPr>
      </w:pPr>
      <w:r>
        <w:rPr>
          <w:sz w:val="22"/>
        </w:rPr>
        <w:t>(b)</w:t>
        <w:tab/>
        <w:t>Party B represents that it is a corporation organized under the law of the State of Delaware.</w:t>
      </w:r>
    </w:p>
    <w:p>
      <w:pPr>
        <w:pStyle w:val="Normal"/>
        <w:ind w:hanging="720" w:start="1440" w:end="720"/>
        <w:jc w:val="both"/>
        <w:rPr>
          <w:sz w:val="22"/>
        </w:rPr>
      </w:pPr>
      <w:r>
        <w:rPr>
          <w:sz w:val="22"/>
        </w:rPr>
      </w:r>
    </w:p>
    <w:p>
      <w:pPr>
        <w:pStyle w:val="Normal"/>
        <w:ind w:hanging="720" w:start="1440" w:end="720"/>
        <w:jc w:val="both"/>
        <w:rPr>
          <w:sz w:val="22"/>
        </w:rPr>
      </w:pPr>
      <w:r>
        <w:rPr>
          <w:sz w:val="22"/>
        </w:rPr>
        <w:t>(c)</w:t>
        <w:tab/>
        <w:t>Party A represents that it is a ____________ organized under the law of ______________.</w:t>
      </w:r>
    </w:p>
    <w:p>
      <w:pPr>
        <w:pStyle w:val="Normal"/>
        <w:jc w:val="both"/>
        <w:rPr>
          <w:sz w:val="22"/>
        </w:rPr>
      </w:pPr>
      <w:r>
        <w:rPr>
          <w:sz w:val="22"/>
        </w:rPr>
      </w:r>
    </w:p>
    <w:p>
      <w:pPr>
        <w:pStyle w:val="Normal"/>
        <w:ind w:hanging="720" w:start="1440" w:end="720"/>
        <w:jc w:val="both"/>
        <w:rPr>
          <w:sz w:val="22"/>
        </w:rPr>
      </w:pPr>
      <w:r>
        <w:rPr>
          <w:sz w:val="22"/>
        </w:rPr>
        <w:t>(d)</w:t>
        <w:tab/>
        <w:t>Each party agrees with the other that, so long as either party has or may have any obligation under this Agreement or under any Credit Support Document to which it is a party, it will deliver to the other party or, in certain cases under subparagraph (iii) below, to such government or taxing authority as the other party reasonably directs:</w:t>
      </w:r>
    </w:p>
    <w:p>
      <w:pPr>
        <w:pStyle w:val="Normal"/>
        <w:ind w:hanging="720" w:start="1440" w:end="720"/>
        <w:jc w:val="both"/>
        <w:rPr>
          <w:sz w:val="22"/>
        </w:rPr>
      </w:pPr>
      <w:r>
        <w:rPr>
          <w:sz w:val="22"/>
        </w:rPr>
      </w:r>
    </w:p>
    <w:p>
      <w:pPr>
        <w:pStyle w:val="Normal"/>
        <w:ind w:start="1440" w:end="1440"/>
        <w:jc w:val="both"/>
        <w:rPr>
          <w:sz w:val="22"/>
        </w:rPr>
      </w:pPr>
      <w:r>
        <w:rPr>
          <w:sz w:val="22"/>
        </w:rPr>
        <w:t>(i)</w:t>
        <w:tab/>
        <w:t>any forms, documents or certificates relating to taxation specified herein or in any Confirmation;</w:t>
      </w:r>
    </w:p>
    <w:p>
      <w:pPr>
        <w:pStyle w:val="Normal"/>
        <w:ind w:hanging="720" w:start="2160" w:end="1440"/>
        <w:jc w:val="both"/>
        <w:rPr>
          <w:sz w:val="22"/>
        </w:rPr>
      </w:pPr>
      <w:r>
        <w:rPr>
          <w:sz w:val="22"/>
        </w:rPr>
      </w:r>
    </w:p>
    <w:p>
      <w:pPr>
        <w:pStyle w:val="Normal"/>
        <w:ind w:start="1440" w:end="1440"/>
        <w:jc w:val="both"/>
        <w:rPr>
          <w:sz w:val="22"/>
        </w:rPr>
      </w:pPr>
      <w:r>
        <w:rPr>
          <w:sz w:val="22"/>
        </w:rPr>
        <w:t>(ii)</w:t>
        <w:tab/>
        <w:t>any other documents specified in the Schedule or any Confirmation; and</w:t>
      </w:r>
    </w:p>
    <w:p>
      <w:pPr>
        <w:pStyle w:val="Normal"/>
        <w:ind w:hanging="720" w:start="2160" w:end="1440"/>
        <w:jc w:val="both"/>
        <w:rPr>
          <w:sz w:val="22"/>
        </w:rPr>
      </w:pPr>
      <w:r>
        <w:rPr>
          <w:sz w:val="22"/>
        </w:rPr>
      </w:r>
    </w:p>
    <w:p>
      <w:pPr>
        <w:pStyle w:val="Normal"/>
        <w:ind w:start="1440" w:end="1440"/>
        <w:jc w:val="both"/>
        <w:rPr>
          <w:sz w:val="22"/>
        </w:rPr>
      </w:pPr>
      <w:r>
        <w:rPr>
          <w:sz w:val="22"/>
        </w:rPr>
        <w:t>(iii)</w:t>
        <w:tab/>
        <w:t>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taxes or duties whatsoever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w:t>
      </w:r>
    </w:p>
    <w:p>
      <w:pPr>
        <w:pStyle w:val="Normal"/>
        <w:ind w:start="1440" w:end="1440"/>
        <w:jc w:val="both"/>
        <w:rPr>
          <w:sz w:val="22"/>
        </w:rPr>
      </w:pPr>
      <w:r>
        <w:rPr>
          <w:sz w:val="22"/>
        </w:rPr>
      </w:r>
    </w:p>
    <w:p>
      <w:pPr>
        <w:pStyle w:val="Normal"/>
        <w:ind w:start="720" w:end="720"/>
        <w:jc w:val="both"/>
        <w:rPr>
          <w:sz w:val="22"/>
        </w:rPr>
      </w:pPr>
      <w:r>
        <w:rPr>
          <w:sz w:val="22"/>
        </w:rPr>
        <w:t>in each case by the date specified herein or in such Confirmation or, if none is specified, as soon as reasonably practicable.</w:t>
      </w:r>
    </w:p>
    <w:p>
      <w:pPr>
        <w:pStyle w:val="Normal"/>
        <w:jc w:val="both"/>
        <w:rPr>
          <w:sz w:val="22"/>
        </w:rPr>
      </w:pPr>
      <w:r>
        <w:rPr>
          <w:sz w:val="22"/>
        </w:rPr>
      </w:r>
    </w:p>
    <w:p>
      <w:pPr>
        <w:pStyle w:val="Normal"/>
        <w:jc w:val="both"/>
        <w:rPr/>
      </w:pPr>
      <w:r>
        <w:rPr>
          <w:sz w:val="22"/>
        </w:rPr>
        <w:t>6.</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jc w:val="both"/>
        <w:rPr/>
      </w:pPr>
      <w:r>
        <w:rPr>
          <w:sz w:val="22"/>
        </w:rPr>
        <w:t>7.</w:t>
        <w:tab/>
      </w:r>
      <w:r>
        <w:rPr>
          <w:sz w:val="22"/>
          <w:u w:val="single"/>
        </w:rPr>
        <w:t>Notices</w:t>
      </w:r>
      <w:r>
        <w:rPr>
          <w:sz w:val="22"/>
        </w:rPr>
        <w:t>.  Paragraph 13 is hereby amended in its entirety to read as follows:</w:t>
      </w:r>
    </w:p>
    <w:p>
      <w:pPr>
        <w:pStyle w:val="Normal"/>
        <w:jc w:val="both"/>
        <w:rPr>
          <w:sz w:val="22"/>
        </w:rPr>
      </w:pPr>
      <w:r>
        <w:rPr>
          <w:sz w:val="22"/>
        </w:rPr>
      </w:r>
    </w:p>
    <w:p>
      <w:pPr>
        <w:pStyle w:val="Normal"/>
        <w:ind w:start="720" w:end="720"/>
        <w:jc w:val="both"/>
        <w:rPr>
          <w:sz w:val="22"/>
        </w:rPr>
      </w:pPr>
      <w:r>
        <w:rPr>
          <w:sz w:val="22"/>
        </w:rPr>
        <w:t>“</w:t>
      </w:r>
      <w:r>
        <w:rPr>
          <w:sz w:val="22"/>
        </w:rPr>
        <w:t>13.</w:t>
        <w:tab/>
        <w:t>Notices and Communications.</w:t>
      </w:r>
    </w:p>
    <w:p>
      <w:pPr>
        <w:pStyle w:val="Normal"/>
        <w:ind w:start="720" w:end="720"/>
        <w:jc w:val="both"/>
        <w:rPr>
          <w:sz w:val="22"/>
        </w:rPr>
      </w:pPr>
      <w:r>
        <w:rPr>
          <w:sz w:val="22"/>
        </w:rPr>
      </w:r>
    </w:p>
    <w:p>
      <w:pPr>
        <w:pStyle w:val="Normal"/>
        <w:ind w:start="720" w:end="0"/>
        <w:jc w:val="both"/>
        <w:rPr>
          <w:sz w:val="22"/>
        </w:rPr>
      </w:pPr>
      <w:r>
        <w:rPr>
          <w:sz w:val="22"/>
        </w:rPr>
        <w:t>All notices, Confirmations, and other communications in connection with the Agreement shall be in writing (except as otherwise provided in Paragraph 3(a), and sent or transmitted by hand delivery, overnight mail service, or certified mail (postage prepaid, return receipt requested), telex, or telefacsimile, to the addresses specified in Annex II, or to such other address as may be designated by notice to the other party sent in the manner set forth above.  Such notices shall be deemed to have been duly received when delivered by hand, except that notices sent (1) by telex shall be deemed received when the appropriate answerback is received, (2) by certified or registered mail (airmail, if overseas) or the equivalent (return receipt requested and postage prepaid) shall be deemed received on the date that mail is delivered or its delivery is attempted, (3) by telefacsimile shall be deemed received when receipt is confirmed by return telefacsimile, provided that notice sent by telefacsimile received by the recipient after its normal business hours on a business day shall be deemed to be received on the following business day, and (4) by recognized overnight mail service (e.g. Federal Express) shall be deemed received the business day after it is sent if sent for next day delivery to a U.S. address or other address in North America.”</w:t>
      </w:r>
    </w:p>
    <w:p>
      <w:pPr>
        <w:pStyle w:val="Normal"/>
        <w:jc w:val="both"/>
        <w:rPr>
          <w:sz w:val="22"/>
        </w:rPr>
      </w:pPr>
      <w:r>
        <w:rPr>
          <w:sz w:val="22"/>
        </w:rPr>
      </w:r>
    </w:p>
    <w:p>
      <w:pPr>
        <w:pStyle w:val="Normal"/>
        <w:spacing w:lineRule="exact" w:line="240"/>
        <w:ind w:hanging="720" w:start="720" w:end="0"/>
        <w:jc w:val="both"/>
        <w:rPr/>
      </w:pPr>
      <w:r>
        <w:rPr>
          <w:sz w:val="22"/>
        </w:rPr>
        <w:t>8.</w:t>
        <w:tab/>
      </w:r>
      <w:r>
        <w:rPr>
          <w:sz w:val="22"/>
          <w:u w:val="single"/>
        </w:rPr>
        <w:t>Non-assignability</w:t>
      </w:r>
      <w:r>
        <w:rPr>
          <w:b/>
          <w:sz w:val="22"/>
        </w:rPr>
        <w:t>.</w:t>
      </w:r>
      <w:r>
        <w:rPr>
          <w:sz w:val="22"/>
        </w:rPr>
        <w:t xml:space="preserve">  Paragraph 15(a) of the Agreement is hereby amended by:  (i) adding in the second line thereof after the words “other party,” the words “(which consent will not be unreasonably withheld or delayed)”; and (ii) adding the following at the end thereof:</w:t>
      </w:r>
    </w:p>
    <w:p>
      <w:pPr>
        <w:pStyle w:val="Normal"/>
        <w:spacing w:lineRule="exact" w:line="240"/>
        <w:ind w:start="720" w:end="0"/>
        <w:jc w:val="both"/>
        <w:rPr>
          <w:sz w:val="22"/>
        </w:rPr>
      </w:pPr>
      <w:r>
        <w:rPr>
          <w:sz w:val="22"/>
        </w:rPr>
      </w:r>
    </w:p>
    <w:p>
      <w:pPr>
        <w:pStyle w:val="Normal"/>
        <w:spacing w:lineRule="exact" w:line="240"/>
        <w:ind w:start="720" w:end="0"/>
        <w:jc w:val="both"/>
        <w:rPr>
          <w:sz w:val="22"/>
        </w:rPr>
      </w:pPr>
      <w:r>
        <w:rPr>
          <w:sz w:val="22"/>
        </w:rPr>
        <w:t>“</w:t>
      </w:r>
      <w:r>
        <w:rPr>
          <w:sz w:val="22"/>
        </w:rPr>
        <w:t>For purposes of this Paragraph, the non-transferring party’s withholding of consent to a proposed transfer will not be deemed to be unreasonable if, without limitation:  an Event of Default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does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jc w:val="both"/>
        <w:rPr>
          <w:sz w:val="22"/>
        </w:rPr>
      </w:pPr>
      <w:r>
        <w:rPr>
          <w:sz w:val="22"/>
        </w:rPr>
      </w:r>
    </w:p>
    <w:p>
      <w:pPr>
        <w:pStyle w:val="Normal"/>
        <w:ind w:hanging="720" w:start="720" w:end="0"/>
        <w:jc w:val="both"/>
        <w:rPr/>
      </w:pPr>
      <w:r>
        <w:rPr>
          <w:sz w:val="22"/>
        </w:rPr>
        <w:t>9.</w:t>
        <w:tab/>
      </w:r>
      <w:r>
        <w:rPr>
          <w:sz w:val="22"/>
          <w:u w:val="single"/>
        </w:rPr>
        <w:t>Additional Event of Default</w:t>
      </w:r>
      <w:r>
        <w:rPr>
          <w:sz w:val="22"/>
        </w:rPr>
        <w:t>.  In addition to the Events of Default set forth in Paragraph 11 of the Agreement, it shall be an additional "Event of Default" if (i) the Credit Rating of Party A, or with respect to Party B, its Credit Support Provider, falls below "BBB-" by S&amp;P or "Baa3" by Moody's or (ii) Party A or, with respect to Party B, its Credit Support Provider, ceases to have at least one Credit Rating by S&amp;P or Moody's.  For purposes of the Agreement and this Annex I, "Credit Rating" shall mean, with respect to a party or entity on any date of determination, the respective rating then assigned to its unsecured and senior long-term debt or deposit obligations (not supported by third party credit enhancement) by S&amp;P, Moody's or the specified rating agency.  "Moody's" shall mean Moody's Investors Services, Inc. or its successor, and "S&amp;P" shall mean the Standard &amp; Poor's Rating Group (a division of McGraw-Hill, Inc.) or its successor.</w:t>
      </w:r>
    </w:p>
    <w:p>
      <w:pPr>
        <w:pStyle w:val="Normal"/>
        <w:jc w:val="both"/>
        <w:rPr>
          <w:sz w:val="22"/>
        </w:rPr>
      </w:pPr>
      <w:r>
        <w:rPr>
          <w:sz w:val="22"/>
        </w:rPr>
      </w:r>
    </w:p>
    <w:p>
      <w:pPr>
        <w:pStyle w:val="Normal"/>
        <w:jc w:val="both"/>
        <w:rPr/>
      </w:pPr>
      <w:r>
        <w:rPr>
          <w:sz w:val="22"/>
        </w:rPr>
        <w:t>10.</w:t>
        <w:tab/>
      </w:r>
      <w:r>
        <w:rPr>
          <w:sz w:val="22"/>
          <w:u w:val="single"/>
        </w:rPr>
        <w:t>Miscellaneous</w:t>
      </w:r>
      <w:r>
        <w:rPr>
          <w:sz w:val="22"/>
        </w:rPr>
        <w:t>.</w:t>
      </w:r>
    </w:p>
    <w:p>
      <w:pPr>
        <w:pStyle w:val="Normal"/>
        <w:jc w:val="both"/>
        <w:rPr>
          <w:sz w:val="22"/>
        </w:rPr>
      </w:pPr>
      <w:r>
        <w:rPr>
          <w:sz w:val="22"/>
        </w:rPr>
      </w:r>
    </w:p>
    <w:p>
      <w:pPr>
        <w:pStyle w:val="Normal"/>
        <w:jc w:val="both"/>
        <w:rPr>
          <w:sz w:val="22"/>
        </w:rPr>
      </w:pPr>
      <w:r>
        <w:rPr>
          <w:sz w:val="22"/>
        </w:rPr>
        <w:tab/>
        <w:t>(a)</w:t>
        <w:tab/>
        <w:t>Each party hereby agrees to deliver the following documents at the execution of this Agreement:</w:t>
      </w:r>
    </w:p>
    <w:p>
      <w:pPr>
        <w:pStyle w:val="Normal"/>
        <w:spacing w:lineRule="atLeast" w:line="240" w:before="120" w:after="0"/>
        <w:ind w:hanging="720" w:start="1440" w:end="720"/>
        <w:jc w:val="both"/>
        <w:rPr>
          <w:sz w:val="22"/>
        </w:rPr>
      </w:pPr>
      <w:r>
        <w:rPr>
          <w:sz w:val="22"/>
        </w:rPr>
        <w:t>(i)</w:t>
        <w:tab/>
        <w:t>duly executed originals of the Credit Support Documents specified herein;</w:t>
      </w:r>
    </w:p>
    <w:p>
      <w:pPr>
        <w:pStyle w:val="Normal"/>
        <w:spacing w:lineRule="atLeast" w:line="240" w:before="120" w:after="0"/>
        <w:ind w:hanging="720" w:start="1440" w:end="720"/>
        <w:jc w:val="both"/>
        <w:rPr>
          <w:sz w:val="22"/>
        </w:rPr>
      </w:pPr>
      <w:r>
        <w:rPr>
          <w:sz w:val="22"/>
        </w:rPr>
        <w:t>(ii)</w:t>
        <w:tab/>
        <w:t>certified incumbency certificate or other evidence of authority and specimen signatures with respect to each party, its Credit Support Provider (if any), and its respective signatories executing this Agreement or any Credit Support Document on its behalf; and</w:t>
      </w:r>
    </w:p>
    <w:p>
      <w:pPr>
        <w:pStyle w:val="Normal"/>
        <w:spacing w:lineRule="atLeast" w:line="240" w:before="120" w:after="0"/>
        <w:ind w:hanging="720" w:start="1440" w:end="720"/>
        <w:jc w:val="both"/>
        <w:rPr>
          <w:sz w:val="22"/>
        </w:rPr>
      </w:pPr>
      <w:r>
        <w:rPr>
          <w:sz w:val="22"/>
        </w:rPr>
        <w:t>(iii)</w:t>
        <w:tab/>
        <w:t>a Secretary's or Assistant Secretary's Certificate (i) certifying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constituent documents) and (ii) authorizing a specified person or persons to execute and deliver (as appropriate) on its behalf this Agreement or the Credit Support Document, as the case may be, the annexes, schedules, and attachments hereto or thereto, and the documents incorporated by reference herein or therein.</w:t>
      </w:r>
    </w:p>
    <w:p>
      <w:pPr>
        <w:pStyle w:val="Normal"/>
        <w:jc w:val="both"/>
        <w:rPr>
          <w:sz w:val="22"/>
        </w:rPr>
      </w:pPr>
      <w:r>
        <w:rPr>
          <w:sz w:val="22"/>
        </w:rPr>
      </w:r>
    </w:p>
    <w:p>
      <w:pPr>
        <w:pStyle w:val="Normal"/>
        <w:jc w:val="both"/>
        <w:rPr>
          <w:sz w:val="22"/>
        </w:rPr>
      </w:pPr>
      <w:r>
        <w:rPr>
          <w:sz w:val="22"/>
        </w:rPr>
        <w:tab/>
        <w:t>(b)</w:t>
        <w:tab/>
        <w:t>Guaranty dated as of the date hereof by Enron Corp. (the “Credit Support Provider”) in favor of Party A as beneficiary thereof (the “Credit Support Document”) is hereby incorporated by reference in, and made part of, this Agreement and each Confirmation (unless provided otherwise in a Confirmation) as if set forth in full in this Agreement or such Confirmation.</w:t>
      </w:r>
    </w:p>
    <w:p>
      <w:pPr>
        <w:pStyle w:val="Normal"/>
        <w:jc w:val="both"/>
        <w:rPr>
          <w:sz w:val="22"/>
        </w:rPr>
      </w:pPr>
      <w:r>
        <w:rPr>
          <w:sz w:val="22"/>
        </w:rPr>
      </w:r>
    </w:p>
    <w:p>
      <w:pPr>
        <w:pStyle w:val="Normal"/>
        <w:spacing w:lineRule="exact" w:line="240"/>
        <w:jc w:val="both"/>
        <w:rPr/>
      </w:pPr>
      <w:r>
        <w:rPr>
          <w:sz w:val="22"/>
        </w:rPr>
        <w:tab/>
        <w:t>(c)</w:t>
        <w:tab/>
        <w:t xml:space="preserve">Setoff.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sz w:val="22"/>
        </w:rPr>
      </w:pPr>
      <w:r>
        <w:rPr>
          <w:sz w:val="22"/>
        </w:rPr>
        <w:tab/>
        <w:tab/>
        <w:t>(B)</w:t>
        <w:tab/>
        <w:t>Notwithstanding any provision to the contrary contained in this Agreement, X shall not be required to pay to Y any amount until all amounts due and payable at such date by Y have been fully and finally paid, and (2) all other obligations of any kind whatsoever of Y to make any payments to X or any Affiliate of X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b/>
          <w:sz w:val="22"/>
        </w:rPr>
      </w:pPr>
      <w:r>
        <w:rPr>
          <w:b/>
          <w:sz w:val="22"/>
        </w:rPr>
        <w:tab/>
        <w:t>(d)</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PARAGRAPH 11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(e)</w:t>
        <w:tab/>
      </w:r>
      <w:r>
        <w:rPr>
          <w:sz w:val="22"/>
          <w:u w:val="single"/>
        </w:rPr>
        <w:t>Confidentiality</w:t>
      </w:r>
      <w:r>
        <w:rPr>
          <w:sz w:val="22"/>
        </w:rPr>
        <w:t>.  The contents of this Agreement and all other documents relating to this Agreement, and any information made available by one party or its Credit Support Provider to the other party or its Credit Support Provider (if any)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or its Credit Support Provider (if any)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pPr>
      <w:r>
        <w:rPr>
          <w:sz w:val="22"/>
        </w:rPr>
        <w:tab/>
        <w:t>(f)</w:t>
        <w:tab/>
      </w:r>
      <w:r>
        <w:rPr>
          <w:sz w:val="22"/>
          <w:u w:val="single"/>
        </w:rPr>
        <w:t>Additional Governing Law Provision</w:t>
      </w:r>
      <w:r>
        <w:rPr>
          <w:sz w:val="22"/>
        </w:rPr>
        <w:t>.  The parties hereby agree that Section 5-1401 of the New York General Obligations Law shall be applicable to the Agreement.</w:t>
      </w:r>
    </w:p>
    <w:p>
      <w:pPr>
        <w:pStyle w:val="Normal"/>
        <w:jc w:val="both"/>
        <w:rPr>
          <w:sz w:val="22"/>
        </w:rPr>
      </w:pPr>
      <w:r>
        <w:rPr>
          <w:sz w:val="22"/>
        </w:rPr>
      </w:r>
    </w:p>
    <w:p>
      <w:pPr>
        <w:pStyle w:val="Normal"/>
        <w:jc w:val="both"/>
        <w:rPr/>
      </w:pPr>
      <w:r>
        <w:rPr>
          <w:sz w:val="22"/>
        </w:rPr>
        <w:tab/>
        <w:t>(g)</w:t>
        <w:tab/>
      </w:r>
      <w:r>
        <w:rPr>
          <w:sz w:val="22"/>
          <w:u w:val="single"/>
        </w:rPr>
        <w:t>Arbitration</w:t>
      </w:r>
      <w:r>
        <w:rPr>
          <w:sz w:val="22"/>
        </w:rPr>
        <w:t xml:space="preserve">.  </w:t>
      </w:r>
    </w:p>
    <w:p>
      <w:pPr>
        <w:pStyle w:val="Normal"/>
        <w:jc w:val="both"/>
        <w:rPr>
          <w:sz w:val="22"/>
        </w:rPr>
      </w:pPr>
      <w:r>
        <w:rPr>
          <w:sz w:val="22"/>
        </w:rPr>
      </w:r>
    </w:p>
    <w:p>
      <w:pPr>
        <w:pStyle w:val="Normal"/>
        <w:ind w:hanging="720" w:start="2160" w:end="1440"/>
        <w:jc w:val="both"/>
        <w:rPr/>
      </w:pPr>
      <w:r>
        <w:rPr>
          <w:sz w:val="22"/>
        </w:rPr>
        <w:t>(i)</w:t>
        <w:tab/>
      </w:r>
      <w:r>
        <w:rPr>
          <w:sz w:val="22"/>
          <w:u w:val="single"/>
        </w:rPr>
        <w:t>Agreement To Arbitrate</w:t>
      </w:r>
      <w:r>
        <w:rPr>
          <w:b/>
          <w:sz w:val="22"/>
        </w:rPr>
        <w:t>:</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hanging="720" w:start="2160" w:end="1440"/>
        <w:jc w:val="both"/>
        <w:rPr/>
      </w:pPr>
      <w:r>
        <w:rPr>
          <w:sz w:val="22"/>
        </w:rPr>
        <w:t>(ii)</w:t>
        <w:tab/>
      </w:r>
      <w:r>
        <w:rPr>
          <w:sz w:val="22"/>
          <w:u w:val="single"/>
        </w:rPr>
        <w:t>Conduct Of The Arbitration, And Authority Of The Arbitrators</w:t>
      </w:r>
      <w:r>
        <w:rPr>
          <w:b/>
          <w:sz w:val="22"/>
        </w:rPr>
        <w:t>:</w:t>
      </w:r>
      <w:r>
        <w:rPr>
          <w:sz w:val="22"/>
        </w:rPr>
        <w:t xml:space="preserve"> </w:t>
      </w:r>
      <w:r>
        <w:rPr>
          <w:i/>
          <w:sz w:val="22"/>
        </w:rPr>
        <w:t xml:space="preserve"> </w:t>
      </w:r>
      <w:r>
        <w:rPr>
          <w:sz w:val="22"/>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hanging="720" w:start="2160" w:end="1440"/>
        <w:jc w:val="both"/>
        <w:rPr/>
      </w:pPr>
      <w:r>
        <w:rPr>
          <w:sz w:val="22"/>
        </w:rPr>
        <w:t>(iii)</w:t>
        <w:tab/>
      </w:r>
      <w:r>
        <w:rPr>
          <w:sz w:val="22"/>
          <w:u w:val="single"/>
        </w:rPr>
        <w:t>Forum For The Arbitration And Selection Of Arbitrators</w:t>
      </w:r>
      <w:r>
        <w:rPr>
          <w:b/>
          <w:sz w:val="22"/>
        </w:rPr>
        <w:t>:</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hanging="720" w:start="2160" w:end="1440"/>
        <w:jc w:val="both"/>
        <w:rPr/>
      </w:pPr>
      <w:r>
        <w:rPr>
          <w:sz w:val="22"/>
        </w:rPr>
        <w:t>(iv)</w:t>
        <w:tab/>
      </w:r>
      <w:r>
        <w:rPr>
          <w:sz w:val="22"/>
          <w:u w:val="single"/>
        </w:rPr>
        <w:t>Confidentiality</w:t>
      </w:r>
      <w:r>
        <w:rPr>
          <w:b/>
          <w:sz w:val="22"/>
        </w:rPr>
        <w:t>:</w:t>
      </w:r>
      <w:r>
        <w:rPr>
          <w:sz w:val="22"/>
        </w:rPr>
        <w:t xml:space="preserve">  To the fullest extent permitted by law, any arbitration proceeding and the arbitrators award shall be maintained in confidence by the parties.</w:t>
      </w:r>
    </w:p>
    <w:p>
      <w:pPr>
        <w:pStyle w:val="Normal"/>
        <w:jc w:val="both"/>
        <w:rPr>
          <w:sz w:val="22"/>
        </w:rPr>
      </w:pPr>
      <w:r>
        <w:rPr>
          <w:sz w:val="22"/>
        </w:rPr>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b/>
                <w:sz w:val="22"/>
              </w:rPr>
              <w:t>THE CHASE MANHATTAN BANK</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sz w:val="22"/>
              </w:rPr>
            </w:pPr>
            <w:r>
              <w:rPr>
                <w:sz w:val="22"/>
              </w:rPr>
              <w:t>Date:</w:t>
              <w:tab/>
            </w:r>
            <w:r>
              <w:rPr>
                <w:sz w:val="22"/>
                <w:u w:val="single"/>
              </w:rPr>
              <w:tab/>
              <w:tab/>
              <w:tab/>
              <w:tab/>
              <w:tab/>
            </w:r>
          </w:p>
        </w:tc>
        <w:tc>
          <w:tcPr>
            <w:tcW w:w="4788" w:type="dxa"/>
            <w:tcBorders/>
          </w:tcPr>
          <w:p>
            <w:pPr>
              <w:pStyle w:val="Normal"/>
              <w:spacing w:lineRule="exact" w:line="240"/>
              <w:jc w:val="both"/>
              <w:rPr>
                <w:sz w:val="22"/>
              </w:rPr>
            </w:pPr>
            <w:r>
              <w:rPr>
                <w:b/>
                <w:sz w:val="22"/>
              </w:rPr>
              <w:t>ENRON CAPITAL &amp; TRADE RESOURCES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1" w:fmt="decimal"/>
          <w:formProt w:val="false"/>
          <w:textDirection w:val="lrTb"/>
          <w:docGrid w:type="default" w:linePitch="360" w:charSpace="0"/>
        </w:sectPr>
      </w:pPr>
    </w:p>
    <w:p>
      <w:pPr>
        <w:pStyle w:val="Normal"/>
        <w:jc w:val="center"/>
        <w:rPr>
          <w:b/>
          <w:sz w:val="22"/>
        </w:rPr>
      </w:pPr>
      <w:r>
        <w:rPr>
          <w:b/>
          <w:sz w:val="22"/>
        </w:rPr>
        <w:t>Annex II</w:t>
      </w:r>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sz w:val="22"/>
        </w:rPr>
      </w:pPr>
      <w:r>
        <w:rPr>
          <w:sz w:val="22"/>
        </w:rPr>
        <w:t>The Chase Manhattan Bank</w:t>
        <w:tab/>
        <w:tab/>
        <w:tab/>
        <w:t>Enron Capital &amp; Trade Resources Corp.</w:t>
      </w:r>
    </w:p>
    <w:p>
      <w:pPr>
        <w:pStyle w:val="Normal"/>
        <w:rPr/>
      </w:pPr>
      <w:r>
        <w:rPr>
          <w:sz w:val="22"/>
          <w:u w:val="single"/>
        </w:rPr>
        <w:tab/>
        <w:tab/>
        <w:tab/>
        <w:tab/>
        <w:tab/>
      </w:r>
      <w:r>
        <w:rPr>
          <w:sz w:val="22"/>
        </w:rPr>
        <w:tab/>
        <w:t>1400 Smith St. #3007B</w:t>
      </w:r>
    </w:p>
    <w:p>
      <w:pPr>
        <w:pStyle w:val="Normal"/>
        <w:rPr/>
      </w:pPr>
      <w:r>
        <w:rPr>
          <w:sz w:val="22"/>
          <w:u w:val="single"/>
        </w:rPr>
        <w:tab/>
        <w:tab/>
        <w:tab/>
        <w:tab/>
        <w:tab/>
      </w:r>
      <w:r>
        <w:rPr>
          <w:sz w:val="22"/>
        </w:rPr>
        <w:tab/>
        <w:t>Houston, Texas  77002-3761</w:t>
      </w:r>
    </w:p>
    <w:p>
      <w:pPr>
        <w:pStyle w:val="Normal"/>
        <w:rPr/>
      </w:pPr>
      <w:r>
        <w:rPr>
          <w:sz w:val="22"/>
        </w:rPr>
        <w:t xml:space="preserve">Attention:  </w:t>
      </w:r>
      <w:r>
        <w:rPr>
          <w:sz w:val="22"/>
          <w:u w:val="single"/>
        </w:rPr>
        <w:tab/>
        <w:tab/>
        <w:tab/>
        <w:tab/>
      </w:r>
      <w:r>
        <w:rPr>
          <w:sz w:val="22"/>
        </w:rPr>
        <w:tab/>
        <w:t>Attention:  Director, Documentation</w:t>
      </w:r>
    </w:p>
    <w:p>
      <w:pPr>
        <w:pStyle w:val="Normal"/>
        <w:rPr/>
      </w:pPr>
      <w:r>
        <w:rPr>
          <w:sz w:val="22"/>
        </w:rPr>
        <w:t xml:space="preserve">Facsimile No.: </w:t>
      </w:r>
      <w:r>
        <w:rPr>
          <w:sz w:val="22"/>
          <w:u w:val="single"/>
        </w:rPr>
        <w:tab/>
        <w:tab/>
        <w:tab/>
        <w:tab/>
      </w:r>
      <w:r>
        <w:rPr>
          <w:sz w:val="22"/>
        </w:rPr>
        <w:tab/>
        <w:tab/>
        <w:t xml:space="preserve">     Department</w:t>
      </w:r>
    </w:p>
    <w:p>
      <w:pPr>
        <w:pStyle w:val="Normal"/>
        <w:rPr/>
      </w:pPr>
      <w:r>
        <w:rPr>
          <w:sz w:val="22"/>
        </w:rPr>
        <w:t xml:space="preserve">Telephone No.:  </w:t>
      </w:r>
      <w:r>
        <w:rPr>
          <w:sz w:val="22"/>
          <w:u w:val="single"/>
        </w:rPr>
        <w:tab/>
        <w:tab/>
        <w:tab/>
      </w:r>
      <w:r>
        <w:rPr>
          <w:sz w:val="22"/>
        </w:rPr>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jc w:val="both"/>
        <w:rPr>
          <w:sz w:val="22"/>
        </w:rPr>
      </w:pPr>
      <w:r>
        <w:rPr>
          <w:sz w:val="22"/>
        </w:rPr>
        <w:t>A copy of any notice sent to Party B pursuant to Paragraph 11 of the Agreement, Paragraph 9 of Annex I or Paragraph 8 of Annex III must also be sent to (i) Enron Capital &amp; Trade Resources Corp., Attention:  Corporate Secretary at the above address and facsimile no. and (ii) Enron Capital &amp; Trade Resources Corp., Attention:  Assistant General Counsel, Trading Group at the above address and facsimile No. (713) 646-4818.</w:t>
      </w:r>
    </w:p>
    <w:p>
      <w:pPr>
        <w:pStyle w:val="Normal"/>
        <w:rPr>
          <w:sz w:val="22"/>
        </w:rPr>
      </w:pPr>
      <w:r>
        <w:rPr>
          <w:sz w:val="22"/>
        </w:rPr>
      </w:r>
    </w:p>
    <w:p>
      <w:pPr>
        <w:pStyle w:val="Normal"/>
        <w:rPr>
          <w:sz w:val="22"/>
        </w:rPr>
      </w:pPr>
      <w:r>
        <w:rPr>
          <w:sz w:val="22"/>
        </w:rPr>
        <w:tab/>
        <w:t>If a Confirmation does not state the account to which United States Dollar payments are to be made, they shall be made as follows:</w:t>
      </w:r>
    </w:p>
    <w:p>
      <w:pPr>
        <w:pStyle w:val="Normal"/>
        <w:rPr>
          <w:sz w:val="22"/>
        </w:rPr>
      </w:pPr>
      <w:r>
        <w:rPr>
          <w:sz w:val="22"/>
        </w:rPr>
      </w:r>
    </w:p>
    <w:tbl>
      <w:tblPr>
        <w:tblW w:w="9974" w:type="dxa"/>
        <w:jc w:val="start"/>
        <w:tblInd w:w="0" w:type="dxa"/>
        <w:tblLayout w:type="fixed"/>
        <w:tblCellMar>
          <w:top w:w="0" w:type="dxa"/>
          <w:start w:w="0" w:type="dxa"/>
          <w:bottom w:w="0" w:type="dxa"/>
          <w:end w:w="0" w:type="dxa"/>
        </w:tblCellMar>
      </w:tblPr>
      <w:tblGrid>
        <w:gridCol w:w="5331"/>
        <w:gridCol w:w="17"/>
        <w:gridCol w:w="4559"/>
        <w:gridCol w:w="67"/>
      </w:tblGrid>
      <w:tr>
        <w:trPr/>
        <w:tc>
          <w:tcPr>
            <w:tcW w:w="5348" w:type="dxa"/>
            <w:gridSpan w:val="2"/>
            <w:tcBorders/>
          </w:tcPr>
          <w:p>
            <w:pPr>
              <w:pStyle w:val="Normal"/>
              <w:keepNext w:val="true"/>
              <w:jc w:val="both"/>
              <w:rPr>
                <w:sz w:val="22"/>
                <w:u w:val="single"/>
              </w:rPr>
            </w:pPr>
            <w:r>
              <w:rPr>
                <w:sz w:val="22"/>
                <w:u w:val="single"/>
              </w:rPr>
              <w:t>Payments to Party B</w:t>
            </w:r>
            <w:r>
              <w:rPr>
                <w:sz w:val="22"/>
              </w:rPr>
              <w:t>:</w:t>
            </w:r>
          </w:p>
        </w:tc>
        <w:tc>
          <w:tcPr>
            <w:tcW w:w="4626" w:type="dxa"/>
            <w:gridSpan w:val="2"/>
            <w:tcBorders/>
          </w:tcPr>
          <w:p>
            <w:pPr>
              <w:pStyle w:val="Normal"/>
              <w:keepNext w:val="true"/>
              <w:jc w:val="both"/>
              <w:rPr>
                <w:sz w:val="22"/>
                <w:u w:val="single"/>
              </w:rPr>
            </w:pPr>
            <w:r>
              <w:rPr>
                <w:sz w:val="22"/>
                <w:u w:val="single"/>
              </w:rPr>
              <w:t>Payments to Party A</w:t>
            </w:r>
            <w:r>
              <w:rPr>
                <w:sz w:val="22"/>
              </w:rPr>
              <w:t>:</w:t>
            </w:r>
          </w:p>
        </w:tc>
      </w:tr>
      <w:tr>
        <w:trPr/>
        <w:tc>
          <w:tcPr>
            <w:tcW w:w="5348" w:type="dxa"/>
            <w:gridSpan w:val="2"/>
            <w:tcBorders/>
          </w:tcPr>
          <w:p>
            <w:pPr>
              <w:pStyle w:val="Normal"/>
              <w:keepNext w:val="true"/>
              <w:jc w:val="both"/>
              <w:rPr>
                <w:sz w:val="22"/>
              </w:rPr>
            </w:pPr>
            <w:r>
              <w:rPr>
                <w:sz w:val="22"/>
              </w:rPr>
              <w:t>Wire transfer to:  NationsBank of Texas, N.A.</w:t>
            </w:r>
          </w:p>
        </w:tc>
        <w:tc>
          <w:tcPr>
            <w:tcW w:w="4626" w:type="dxa"/>
            <w:gridSpan w:val="2"/>
            <w:tcBorders/>
          </w:tcPr>
          <w:p>
            <w:pPr>
              <w:pStyle w:val="Normal"/>
              <w:keepNext w:val="true"/>
              <w:jc w:val="both"/>
              <w:rPr>
                <w:sz w:val="22"/>
              </w:rPr>
            </w:pPr>
            <w:r>
              <w:rPr>
                <w:sz w:val="22"/>
              </w:rPr>
              <w:t>Wire transfer to:</w:t>
            </w:r>
            <w:r>
              <w:rPr>
                <w:sz w:val="22"/>
                <w:u w:val="single"/>
              </w:rPr>
              <w:tab/>
              <w:tab/>
              <w:tab/>
              <w:tab/>
            </w:r>
          </w:p>
        </w:tc>
      </w:tr>
      <w:tr>
        <w:trPr/>
        <w:tc>
          <w:tcPr>
            <w:tcW w:w="5348" w:type="dxa"/>
            <w:gridSpan w:val="2"/>
            <w:tcBorders/>
          </w:tcPr>
          <w:p>
            <w:pPr>
              <w:pStyle w:val="Normal"/>
              <w:keepNext w:val="true"/>
              <w:jc w:val="both"/>
              <w:rPr>
                <w:sz w:val="22"/>
              </w:rPr>
            </w:pPr>
            <w:r>
              <w:rPr>
                <w:sz w:val="22"/>
              </w:rPr>
              <w:t>Acct. No.:  3750494727</w:t>
            </w:r>
          </w:p>
        </w:tc>
        <w:tc>
          <w:tcPr>
            <w:tcW w:w="4626" w:type="dxa"/>
            <w:gridSpan w:val="2"/>
            <w:tcBorders/>
          </w:tcPr>
          <w:p>
            <w:pPr>
              <w:pStyle w:val="Normal"/>
              <w:keepNext w:val="true"/>
              <w:jc w:val="both"/>
              <w:rPr>
                <w:sz w:val="22"/>
              </w:rPr>
            </w:pPr>
            <w:r>
              <w:rPr>
                <w:sz w:val="22"/>
              </w:rPr>
              <w:t>Acct. No.</w:t>
            </w:r>
            <w:r>
              <w:rPr>
                <w:sz w:val="22"/>
                <w:u w:val="single"/>
              </w:rPr>
              <w:tab/>
              <w:tab/>
              <w:tab/>
              <w:tab/>
              <w:tab/>
            </w:r>
          </w:p>
        </w:tc>
      </w:tr>
      <w:tr>
        <w:trPr/>
        <w:tc>
          <w:tcPr>
            <w:tcW w:w="5348" w:type="dxa"/>
            <w:gridSpan w:val="2"/>
            <w:tcBorders/>
          </w:tcPr>
          <w:p>
            <w:pPr>
              <w:pStyle w:val="Normal"/>
              <w:keepNext w:val="true"/>
              <w:jc w:val="both"/>
              <w:rPr>
                <w:sz w:val="22"/>
              </w:rPr>
            </w:pPr>
            <w:r>
              <w:rPr>
                <w:sz w:val="22"/>
              </w:rPr>
              <w:t>(ABA Routing No.:  111000012)</w:t>
            </w:r>
          </w:p>
        </w:tc>
        <w:tc>
          <w:tcPr>
            <w:tcW w:w="4626" w:type="dxa"/>
            <w:gridSpan w:val="2"/>
            <w:tcBorders/>
          </w:tcPr>
          <w:p>
            <w:pPr>
              <w:pStyle w:val="Normal"/>
              <w:keepNext w:val="true"/>
              <w:jc w:val="both"/>
              <w:rPr>
                <w:sz w:val="22"/>
              </w:rPr>
            </w:pPr>
            <w:r>
              <w:rPr>
                <w:sz w:val="22"/>
              </w:rPr>
              <w:t>(ABA Routing No.</w:t>
            </w:r>
            <w:r>
              <w:rPr>
                <w:sz w:val="22"/>
                <w:u w:val="single"/>
              </w:rPr>
              <w:tab/>
              <w:tab/>
              <w:tab/>
              <w:tab/>
              <w:t>)</w:t>
            </w:r>
          </w:p>
        </w:tc>
      </w:tr>
      <w:tr>
        <w:trPr/>
        <w:tc>
          <w:tcPr>
            <w:tcW w:w="5348" w:type="dxa"/>
            <w:gridSpan w:val="2"/>
            <w:tcBorders/>
          </w:tcPr>
          <w:p>
            <w:pPr>
              <w:pStyle w:val="Normal"/>
              <w:keepNext w:val="true"/>
              <w:snapToGrid w:val="false"/>
              <w:jc w:val="both"/>
              <w:rPr>
                <w:sz w:val="22"/>
              </w:rPr>
            </w:pPr>
            <w:r>
              <w:rPr>
                <w:sz w:val="22"/>
              </w:rPr>
            </w:r>
          </w:p>
        </w:tc>
        <w:tc>
          <w:tcPr>
            <w:tcW w:w="4626"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rPr>
            </w:pPr>
            <w:r>
              <w:rPr>
                <w:sz w:val="22"/>
                <w:u w:val="single"/>
              </w:rPr>
              <w:t>Billing and Accounting Matters to Party B</w:t>
            </w:r>
            <w:r>
              <w:rPr>
                <w:sz w:val="22"/>
              </w:rPr>
              <w:t>:</w:t>
            </w:r>
          </w:p>
        </w:tc>
        <w:tc>
          <w:tcPr>
            <w:tcW w:w="4576" w:type="dxa"/>
            <w:gridSpan w:val="2"/>
            <w:tcBorders/>
          </w:tcPr>
          <w:p>
            <w:pPr>
              <w:pStyle w:val="Normal"/>
              <w:keepNext w:val="true"/>
              <w:jc w:val="both"/>
              <w:rPr>
                <w:sz w:val="22"/>
                <w:u w:val="single"/>
              </w:rPr>
            </w:pPr>
            <w:r>
              <w:rPr>
                <w:sz w:val="22"/>
                <w:u w:val="single"/>
              </w:rPr>
              <w:t>Billing and Accounting Matters to Party A:</w:t>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Enron Capital &amp; Trade Resources Corp.</w:t>
            </w:r>
          </w:p>
        </w:tc>
        <w:tc>
          <w:tcPr>
            <w:tcW w:w="4576" w:type="dxa"/>
            <w:gridSpan w:val="2"/>
            <w:tcBorders/>
          </w:tcPr>
          <w:p>
            <w:pPr>
              <w:pStyle w:val="Normal"/>
              <w:keepNext w:val="true"/>
              <w:jc w:val="both"/>
              <w:rPr>
                <w:sz w:val="22"/>
                <w:u w:val="single"/>
              </w:rPr>
            </w:pPr>
            <w:r>
              <w:rPr>
                <w:sz w:val="22"/>
              </w:rPr>
              <w:t>The Chase Manhattan Bank</w:t>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576" w:type="dxa"/>
            <w:gridSpan w:val="2"/>
            <w:tcBorders/>
          </w:tcPr>
          <w:p>
            <w:pPr>
              <w:pStyle w:val="Normal"/>
              <w:keepNext w:val="true"/>
              <w:jc w:val="both"/>
              <w:rPr>
                <w:sz w:val="22"/>
                <w:u w:val="single"/>
              </w:rPr>
            </w:pPr>
            <w:r>
              <w:rPr>
                <w:sz w:val="22"/>
                <w:u w:val="single"/>
              </w:rPr>
              <w:tab/>
              <w:tab/>
              <w:tab/>
              <w:tab/>
              <w:tab/>
              <w:tab/>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Houston, Texas 77210-4428</w:t>
            </w:r>
          </w:p>
        </w:tc>
        <w:tc>
          <w:tcPr>
            <w:tcW w:w="4576" w:type="dxa"/>
            <w:gridSpan w:val="2"/>
            <w:tcBorders/>
          </w:tcPr>
          <w:p>
            <w:pPr>
              <w:pStyle w:val="Normal"/>
              <w:keepNext w:val="true"/>
              <w:jc w:val="both"/>
              <w:rPr>
                <w:sz w:val="22"/>
                <w:u w:val="single"/>
              </w:rPr>
            </w:pPr>
            <w:r>
              <w:rPr>
                <w:sz w:val="22"/>
                <w:u w:val="single"/>
              </w:rPr>
              <w:tab/>
              <w:tab/>
              <w:tab/>
              <w:tab/>
              <w:tab/>
              <w:tab/>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Attn.:  Contract Settlement - Financial</w:t>
            </w:r>
          </w:p>
        </w:tc>
        <w:tc>
          <w:tcPr>
            <w:tcW w:w="4576" w:type="dxa"/>
            <w:gridSpan w:val="2"/>
            <w:tcBorders/>
          </w:tcPr>
          <w:p>
            <w:pPr>
              <w:pStyle w:val="Normal"/>
              <w:keepNext w:val="true"/>
              <w:jc w:val="both"/>
              <w:rPr/>
            </w:pPr>
            <w:r>
              <w:rPr>
                <w:sz w:val="22"/>
              </w:rPr>
              <w:t xml:space="preserve">Attn.: </w:t>
            </w:r>
            <w:r>
              <w:rPr>
                <w:sz w:val="22"/>
                <w:u w:val="single"/>
              </w:rPr>
              <w:tab/>
              <w:tab/>
              <w:tab/>
              <w:tab/>
              <w:tab/>
              <w:tab/>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576" w:type="dxa"/>
            <w:gridSpan w:val="2"/>
            <w:tcBorders/>
          </w:tcPr>
          <w:p>
            <w:pPr>
              <w:pStyle w:val="Normal"/>
              <w:keepNext w:val="true"/>
              <w:jc w:val="both"/>
              <w:rPr/>
            </w:pPr>
            <w:r>
              <w:rPr>
                <w:sz w:val="22"/>
              </w:rPr>
              <w:t>Facsimile No.</w:t>
            </w:r>
            <w:r>
              <w:rPr>
                <w:sz w:val="22"/>
                <w:u w:val="single"/>
              </w:rPr>
              <w:tab/>
              <w:tab/>
              <w:tab/>
              <w:tab/>
              <w:tab/>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576" w:type="dxa"/>
            <w:gridSpan w:val="2"/>
            <w:tcBorders/>
          </w:tcPr>
          <w:p>
            <w:pPr>
              <w:pStyle w:val="Normal"/>
              <w:keepNext w:val="true"/>
              <w:snapToGrid w:val="false"/>
              <w:jc w:val="both"/>
              <w:rPr>
                <w:sz w:val="22"/>
              </w:rPr>
            </w:pPr>
            <w:r>
              <w:rPr>
                <w:sz w:val="22"/>
              </w:rPr>
            </w:r>
          </w:p>
        </w:tc>
        <w:tc>
          <w:tcPr>
            <w:tcW w:w="67" w:type="dxa"/>
            <w:tcBorders/>
          </w:tcPr>
          <w:p>
            <w:pPr>
              <w:pStyle w:val="Normal"/>
              <w:snapToGrid w:val="false"/>
              <w:rPr>
                <w:sz w:val="22"/>
                <w:u w:val="single"/>
              </w:rPr>
            </w:pPr>
            <w:r>
              <w:rPr>
                <w:sz w:val="22"/>
                <w:u w:val="single"/>
              </w:rPr>
            </w:r>
          </w:p>
        </w:tc>
      </w:tr>
    </w:tbl>
    <w:p>
      <w:pPr>
        <w:sectPr>
          <w:headerReference w:type="default" r:id="rId3"/>
          <w:headerReference w:type="first" r:id="rId4"/>
          <w:footerReference w:type="default" r:id="rId5"/>
          <w:footerReference w:type="first" r:id="rId6"/>
          <w:type w:val="nextPage"/>
          <w:pgSz w:w="12240" w:h="15840"/>
          <w:pgMar w:left="1296" w:right="1296" w:gutter="0" w:header="720" w:top="1296" w:footer="720" w:bottom="1296"/>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Schedule III.A</w:t>
      </w:r>
    </w:p>
    <w:p>
      <w:pPr>
        <w:pStyle w:val="Normal"/>
        <w:jc w:val="center"/>
        <w:rPr>
          <w:b/>
          <w:sz w:val="22"/>
        </w:rPr>
      </w:pPr>
      <w:r>
        <w:rPr>
          <w:b/>
          <w:sz w:val="22"/>
        </w:rPr>
      </w:r>
    </w:p>
    <w:p>
      <w:pPr>
        <w:pStyle w:val="Normal"/>
        <w:jc w:val="center"/>
        <w:rPr>
          <w:b/>
          <w:sz w:val="22"/>
        </w:rPr>
      </w:pPr>
      <w:r>
        <w:rPr>
          <w:b/>
          <w:sz w:val="22"/>
        </w:rPr>
        <w:t>International Transactions Relating to Canada</w:t>
      </w:r>
    </w:p>
    <w:p>
      <w:pPr>
        <w:pStyle w:val="Normal"/>
        <w:rPr>
          <w:b/>
          <w:sz w:val="22"/>
        </w:rPr>
      </w:pPr>
      <w:r>
        <w:rPr>
          <w:b/>
          <w:sz w:val="22"/>
        </w:rPr>
      </w:r>
    </w:p>
    <w:p>
      <w:pPr>
        <w:pStyle w:val="Normal"/>
        <w:spacing w:lineRule="auto" w:line="360"/>
        <w:jc w:val="both"/>
        <w:rPr>
          <w:sz w:val="22"/>
        </w:rPr>
      </w:pPr>
      <w:r>
        <w:rPr>
          <w:sz w:val="22"/>
        </w:rPr>
        <w:tab/>
        <w:tab/>
        <w:t xml:space="preserve">This Schedule III.A forms a part of Annex III to the Master Repurchase Agreement dated as of ____________, 199_ (as the same may be amended, modified or supplemented from time to time, the "Agreement") between The Chase Manhattan Bank ("Party A") and Enron Capital &amp; Trade Resources Corp. ("Party B").  Capitalized terms used but not defined in this Schedule III.A shall have the meaning ascribed to them in Annex III.  </w:t>
      </w:r>
    </w:p>
    <w:p>
      <w:pPr>
        <w:pStyle w:val="Normal"/>
        <w:ind w:hanging="720" w:start="720" w:end="0"/>
        <w:jc w:val="both"/>
        <w:rPr/>
      </w:pPr>
      <w:r>
        <w:rPr>
          <w:sz w:val="22"/>
        </w:rPr>
        <w:t>1.</w:t>
        <w:tab/>
      </w:r>
      <w:r>
        <w:rPr>
          <w:sz w:val="22"/>
          <w:u w:val="single"/>
        </w:rPr>
        <w:t>Definitions</w:t>
      </w:r>
      <w:r>
        <w:rPr>
          <w:sz w:val="22"/>
        </w:rPr>
        <w:t>.  For purposes of this Agreement and Annex III including this Schedule III.A:</w:t>
      </w:r>
    </w:p>
    <w:p>
      <w:pPr>
        <w:pStyle w:val="Normal"/>
        <w:jc w:val="both"/>
        <w:rPr>
          <w:sz w:val="22"/>
        </w:rPr>
      </w:pPr>
      <w:r>
        <w:rPr>
          <w:sz w:val="22"/>
        </w:rPr>
      </w:r>
    </w:p>
    <w:p>
      <w:pPr>
        <w:pStyle w:val="Normal"/>
        <w:ind w:hanging="720" w:start="1440" w:end="0"/>
        <w:jc w:val="both"/>
        <w:rPr>
          <w:sz w:val="22"/>
        </w:rPr>
      </w:pPr>
      <w:r>
        <w:rPr>
          <w:sz w:val="22"/>
        </w:rPr>
        <w:t>(a)</w:t>
        <w:tab/>
        <w:t>The definition of "Price Differential" in Paragraph 2(k) of the Agreement shall be deleted in its entirety and replaced by the following:</w:t>
      </w:r>
    </w:p>
    <w:p>
      <w:pPr>
        <w:pStyle w:val="Normal"/>
        <w:jc w:val="both"/>
        <w:rPr>
          <w:sz w:val="22"/>
        </w:rPr>
      </w:pPr>
      <w:r>
        <w:rPr>
          <w:sz w:val="22"/>
        </w:rPr>
      </w:r>
    </w:p>
    <w:p>
      <w:pPr>
        <w:pStyle w:val="Normal"/>
        <w:ind w:start="1440" w:end="0"/>
        <w:jc w:val="both"/>
        <w:rPr>
          <w:sz w:val="22"/>
        </w:rPr>
      </w:pPr>
      <w:r>
        <w:rPr>
          <w:sz w:val="22"/>
        </w:rPr>
        <w:t>"'Price Differential' shall mean, with respect to any Transaction as of any date, the aggregate amount obtained by daily application of the Pricing Rate for such Transaction to the Purchase Price for such Transaction on a 360 day per year basis for Transactions in currency of the United States of America and on a 365 day per year basis for Transactions in Canadian currency, in each case for the actual number of days during the period commencing on (and including) the Purchase Date for such Transaction and ending on (but excluding) the date of determination (reduced by any amount of such Price Differential previously paid by Seller to Buyer with respect to such Transaction);"</w:t>
      </w:r>
    </w:p>
    <w:p>
      <w:pPr>
        <w:pStyle w:val="Normal"/>
        <w:jc w:val="both"/>
        <w:rPr>
          <w:sz w:val="22"/>
        </w:rPr>
      </w:pPr>
      <w:r>
        <w:rPr>
          <w:sz w:val="22"/>
        </w:rPr>
      </w:r>
    </w:p>
    <w:p>
      <w:pPr>
        <w:pStyle w:val="Normal"/>
        <w:ind w:hanging="720" w:start="1440" w:end="0"/>
        <w:jc w:val="both"/>
        <w:rPr>
          <w:sz w:val="22"/>
        </w:rPr>
      </w:pPr>
      <w:r>
        <w:rPr>
          <w:sz w:val="22"/>
        </w:rPr>
        <w:t>(b)</w:t>
        <w:tab/>
        <w:t>The definition of "Prime Rate" contained in paragraph 2(m) of the Agreement shall be deleted and replaced by the following:</w:t>
      </w:r>
    </w:p>
    <w:p>
      <w:pPr>
        <w:pStyle w:val="Normal"/>
        <w:jc w:val="both"/>
        <w:rPr>
          <w:sz w:val="22"/>
        </w:rPr>
      </w:pPr>
      <w:r>
        <w:rPr>
          <w:sz w:val="22"/>
        </w:rPr>
      </w:r>
    </w:p>
    <w:p>
      <w:pPr>
        <w:pStyle w:val="Normal"/>
        <w:ind w:start="1440" w:end="0"/>
        <w:jc w:val="both"/>
        <w:rPr/>
      </w:pPr>
      <w:r>
        <w:rPr>
          <w:sz w:val="22"/>
        </w:rPr>
        <w:t xml:space="preserve">"Prime Rate" shall mean, (i) with respect to any Transaction conducted in the currency of the United States of America, the prime rate of U.S. money centre commercial banks as published in </w:t>
      </w:r>
      <w:r>
        <w:rPr>
          <w:i/>
          <w:sz w:val="22"/>
        </w:rPr>
        <w:t>The Wall Street Journal</w:t>
      </w:r>
      <w:r>
        <w:rPr>
          <w:sz w:val="22"/>
        </w:rPr>
        <w:t xml:space="preserve"> (or, if more than one such rate is published, the average of such rates) and (ii) with respect to any Transaction conducted in Canadian currency, the arithmetic average of the prime rates quoted by The Bank of Montreal, The Royal Bank of Canada, The Canadian Imperial Bank of Commerce, The Bank of Nova Scotia and The Toronto-Dominion Bank.</w:t>
      </w:r>
    </w:p>
    <w:p>
      <w:pPr>
        <w:pStyle w:val="Normal"/>
        <w:jc w:val="both"/>
        <w:rPr>
          <w:sz w:val="22"/>
        </w:rPr>
      </w:pPr>
      <w:r>
        <w:rPr>
          <w:sz w:val="22"/>
        </w:rPr>
      </w:r>
    </w:p>
    <w:p>
      <w:pPr>
        <w:pStyle w:val="Normal"/>
        <w:jc w:val="both"/>
        <w:rPr/>
      </w:pPr>
      <w:r>
        <w:rPr>
          <w:sz w:val="22"/>
        </w:rPr>
        <w:t>2.</w:t>
        <w:tab/>
      </w:r>
      <w:r>
        <w:rPr>
          <w:sz w:val="22"/>
          <w:u w:val="single"/>
        </w:rPr>
        <w:t>Offices</w:t>
      </w:r>
      <w:r>
        <w:rPr>
          <w:sz w:val="22"/>
        </w:rPr>
        <w:t>.</w:t>
      </w:r>
    </w:p>
    <w:p>
      <w:pPr>
        <w:pStyle w:val="Normal"/>
        <w:jc w:val="both"/>
        <w:rPr>
          <w:sz w:val="22"/>
        </w:rPr>
      </w:pPr>
      <w:r>
        <w:rPr>
          <w:sz w:val="22"/>
        </w:rPr>
      </w:r>
    </w:p>
    <w:p>
      <w:pPr>
        <w:pStyle w:val="Normal"/>
        <w:jc w:val="both"/>
        <w:rPr>
          <w:sz w:val="22"/>
        </w:rPr>
      </w:pPr>
      <w:r>
        <w:rPr>
          <w:sz w:val="22"/>
        </w:rPr>
        <w:t>(a)</w:t>
        <w:tab/>
        <w:t>Each party that enters into a Transaction through an office other than its head or home office represents to the other party that, notwithstanding the place of booking office or jurisdiction of incorporation or organization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Normal"/>
        <w:jc w:val="both"/>
        <w:rPr>
          <w:sz w:val="22"/>
        </w:rPr>
      </w:pPr>
      <w:r>
        <w:rPr>
          <w:sz w:val="22"/>
        </w:rPr>
      </w:r>
    </w:p>
    <w:p>
      <w:pPr>
        <w:pStyle w:val="Normal"/>
        <w:jc w:val="both"/>
        <w:rPr>
          <w:sz w:val="22"/>
        </w:rPr>
      </w:pPr>
      <w:r>
        <w:rPr>
          <w:sz w:val="22"/>
        </w:rPr>
        <w:t>(b)</w:t>
        <w:tab/>
        <w:t>Neither party may change the office through which it makes and receives payments or deliveries for the purpose of a Transaction without the prior written consent of the other party.</w:t>
      </w:r>
    </w:p>
    <w:p>
      <w:pPr>
        <w:sectPr>
          <w:headerReference w:type="default" r:id="rId7"/>
          <w:headerReference w:type="first" r:id="rId8"/>
          <w:footerReference w:type="default" r:id="rId9"/>
          <w:footerReference w:type="first" r:id="rId10"/>
          <w:type w:val="nextPage"/>
          <w:pgSz w:w="12240" w:h="15840"/>
          <w:pgMar w:left="1296" w:right="1296" w:gutter="0" w:header="720" w:top="1296" w:footer="720" w:bottom="1296"/>
          <w:pgNumType w:start="23" w:fmt="decimal"/>
          <w:formProt w:val="false"/>
          <w:textDirection w:val="lrTb"/>
          <w:docGrid w:type="default" w:linePitch="360" w:charSpace="0"/>
        </w:sectPr>
        <w:pStyle w:val="Normal"/>
        <w:rPr>
          <w:sz w:val="22"/>
        </w:rPr>
      </w:pPr>
      <w:r>
        <w:rPr>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199__,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THE CHASE MANHATTAN BANK, a </w:t>
      </w:r>
      <w:r>
        <w:rPr>
          <w:sz w:val="22"/>
          <w:u w:val="single"/>
        </w:rPr>
        <w:tab/>
        <w:tab/>
        <w:tab/>
        <w:tab/>
        <w:tab/>
      </w:r>
      <w:r>
        <w:rPr>
          <w:sz w:val="22"/>
        </w:rPr>
        <w:t xml:space="preserve"> (“Counterparty”) and ENRON CAPITAL &amp; TRADE RESOURCES CORP. (“ECT”), a wholly owned direct subsidiary of Guarantor, are contemplating entering into a Master Repurchase Agreement of even date herewith, a copy of which is attached hereto as </w:t>
      </w:r>
      <w:r>
        <w:rPr>
          <w:sz w:val="22"/>
          <w:u w:val="single"/>
        </w:rPr>
        <w:t>Exhibit A</w:t>
      </w:r>
      <w:r>
        <w:rPr>
          <w:sz w:val="22"/>
        </w:rPr>
        <w:t xml:space="preserve"> (such Master Repurchase Agreement, as the same may from time to time be modified, amended and supplemented, shall be referred to herein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ECT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ECT (the “Obligations”) to Counterparty under the Contract,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exact" w:line="480"/>
        <w:ind w:start="720" w:end="0"/>
        <w:jc w:val="both"/>
        <w:rPr>
          <w:sz w:val="22"/>
        </w:rPr>
      </w:pPr>
      <w:r>
        <w:rPr>
          <w:sz w:val="22"/>
        </w:rPr>
      </w:r>
    </w:p>
    <w:p>
      <w:pPr>
        <w:pStyle w:val="Normal"/>
        <w:tabs>
          <w:tab w:val="clear" w:pos="720"/>
          <w:tab w:val="left" w:pos="2880" w:leader="none"/>
          <w:tab w:val="left" w:pos="6480" w:leader="none"/>
        </w:tabs>
        <w:spacing w:lineRule="exact" w:line="240"/>
        <w:ind w:start="720" w:end="0"/>
        <w:jc w:val="both"/>
        <w:rPr>
          <w:sz w:val="22"/>
        </w:rPr>
      </w:pPr>
      <w:r>
        <w:rPr>
          <w:sz w:val="22"/>
        </w:rPr>
        <w:t>To Counterparty:</w:t>
        <w:tab/>
        <w:t>The Chase Manhattan Bank</w:t>
      </w:r>
    </w:p>
    <w:p>
      <w:pPr>
        <w:pStyle w:val="Normal"/>
        <w:tabs>
          <w:tab w:val="clear" w:pos="720"/>
          <w:tab w:val="left" w:pos="6480" w:leader="none"/>
        </w:tabs>
        <w:spacing w:lineRule="exact" w:line="240"/>
        <w:ind w:start="2880" w:end="0"/>
        <w:jc w:val="both"/>
        <w:rPr>
          <w:sz w:val="22"/>
        </w:rPr>
      </w:pPr>
      <w:r>
        <w:rPr>
          <w:sz w:val="22"/>
          <w:u w:val="single"/>
        </w:rPr>
        <w:tab/>
      </w:r>
    </w:p>
    <w:p>
      <w:pPr>
        <w:pStyle w:val="Normal"/>
        <w:tabs>
          <w:tab w:val="clear" w:pos="720"/>
          <w:tab w:val="left" w:pos="6480" w:leader="none"/>
        </w:tabs>
        <w:spacing w:lineRule="exact" w:line="240"/>
        <w:ind w:start="2880" w:end="0"/>
        <w:jc w:val="both"/>
        <w:rPr>
          <w:sz w:val="22"/>
        </w:rPr>
      </w:pPr>
      <w:r>
        <w:rPr>
          <w:sz w:val="22"/>
          <w:u w:val="single"/>
        </w:rPr>
        <w:tab/>
      </w:r>
    </w:p>
    <w:p>
      <w:pPr>
        <w:pStyle w:val="Normal"/>
        <w:tabs>
          <w:tab w:val="clear" w:pos="720"/>
          <w:tab w:val="left" w:pos="6480" w:leader="none"/>
        </w:tabs>
        <w:spacing w:lineRule="exact" w:line="240"/>
        <w:ind w:start="2880" w:end="0"/>
        <w:jc w:val="both"/>
        <w:rPr>
          <w:sz w:val="22"/>
        </w:rPr>
      </w:pPr>
      <w:r>
        <w:rPr>
          <w:sz w:val="22"/>
          <w:u w:val="single"/>
        </w:rPr>
        <w:tab/>
      </w:r>
    </w:p>
    <w:p>
      <w:pPr>
        <w:pStyle w:val="Normal"/>
        <w:tabs>
          <w:tab w:val="clear" w:pos="720"/>
          <w:tab w:val="left" w:pos="6480" w:leader="none"/>
        </w:tabs>
        <w:spacing w:lineRule="exact" w:line="240"/>
        <w:ind w:start="2880" w:end="0"/>
        <w:jc w:val="both"/>
        <w:rPr>
          <w:sz w:val="22"/>
        </w:rPr>
      </w:pPr>
      <w:r>
        <w:rPr>
          <w:sz w:val="22"/>
        </w:rPr>
        <w:t xml:space="preserve">Attn:  </w:t>
      </w:r>
      <w:r>
        <w:rPr>
          <w:sz w:val="22"/>
          <w:u w:val="single"/>
        </w:rPr>
        <w:tab/>
      </w:r>
    </w:p>
    <w:p>
      <w:pPr>
        <w:pStyle w:val="Normal"/>
        <w:tabs>
          <w:tab w:val="clear" w:pos="720"/>
          <w:tab w:val="left" w:pos="6480" w:leader="none"/>
        </w:tabs>
        <w:spacing w:lineRule="exact" w:line="240"/>
        <w:ind w:start="2880" w:end="0"/>
        <w:jc w:val="both"/>
        <w:rPr>
          <w:sz w:val="22"/>
        </w:rPr>
      </w:pPr>
      <w:r>
        <w:rPr>
          <w:sz w:val="22"/>
        </w:rPr>
        <w:t xml:space="preserve">Fax No.:  </w:t>
      </w:r>
      <w:r>
        <w:rPr>
          <w:sz w:val="22"/>
          <w:u w:val="single"/>
        </w:rPr>
        <w:tab/>
      </w:r>
    </w:p>
    <w:p>
      <w:pPr>
        <w:pStyle w:val="Normal"/>
        <w:ind w:start="720" w:end="0"/>
        <w:jc w:val="both"/>
        <w:rPr>
          <w:sz w:val="22"/>
        </w:rPr>
      </w:pPr>
      <w:r>
        <w:rPr>
          <w:sz w:val="22"/>
        </w:rPr>
      </w:r>
    </w:p>
    <w:p>
      <w:pPr>
        <w:pStyle w:val="Normal"/>
        <w:tabs>
          <w:tab w:val="clear" w:pos="720"/>
          <w:tab w:val="left" w:pos="2880" w:leader="none"/>
        </w:tabs>
        <w:spacing w:lineRule="exact" w:line="240" w:before="240" w:after="0"/>
        <w:ind w:start="720" w:end="0"/>
        <w:jc w:val="both"/>
        <w:rPr>
          <w:sz w:val="22"/>
        </w:rPr>
      </w:pPr>
      <w:r>
        <w:rPr>
          <w:sz w:val="22"/>
        </w:rPr>
        <w:t>To Guarantor:</w:t>
        <w:tab/>
        <w:t>Enron Corp.</w:t>
      </w:r>
    </w:p>
    <w:p>
      <w:pPr>
        <w:pStyle w:val="Normal"/>
        <w:spacing w:lineRule="exact" w:line="240"/>
        <w:ind w:start="2880" w:end="0"/>
        <w:jc w:val="both"/>
        <w:rPr>
          <w:sz w:val="22"/>
        </w:rPr>
      </w:pPr>
      <w:r>
        <w:rPr>
          <w:sz w:val="22"/>
        </w:rPr>
        <w:t>1400 Smith Street</w:t>
      </w:r>
    </w:p>
    <w:p>
      <w:pPr>
        <w:pStyle w:val="Normal"/>
        <w:spacing w:lineRule="exact" w:line="240"/>
        <w:ind w:start="2880" w:end="0"/>
        <w:jc w:val="both"/>
        <w:rPr>
          <w:sz w:val="22"/>
        </w:rPr>
      </w:pPr>
      <w:r>
        <w:rPr>
          <w:sz w:val="22"/>
        </w:rPr>
        <w:t>Houston, Texas  77002</w:t>
      </w:r>
    </w:p>
    <w:p>
      <w:pPr>
        <w:pStyle w:val="Normal"/>
        <w:spacing w:lineRule="exact" w:line="240"/>
        <w:ind w:start="2880" w:end="0"/>
        <w:jc w:val="both"/>
        <w:rPr>
          <w:sz w:val="22"/>
        </w:rPr>
      </w:pPr>
      <w:r>
        <w:rPr>
          <w:sz w:val="22"/>
        </w:rPr>
        <w:t>Attn: Vice President, Finance</w:t>
      </w:r>
    </w:p>
    <w:p>
      <w:pPr>
        <w:pStyle w:val="Normal"/>
        <w:spacing w:lineRule="exact" w:line="240"/>
        <w:ind w:start="2880" w:end="0"/>
        <w:jc w:val="both"/>
        <w:rPr>
          <w:sz w:val="22"/>
        </w:rPr>
      </w:pPr>
      <w:r>
        <w:rPr>
          <w:sz w:val="22"/>
        </w:rPr>
        <w:tab/>
        <w:t>and Treasurer</w:t>
      </w:r>
    </w:p>
    <w:p>
      <w:pPr>
        <w:pStyle w:val="Normal"/>
        <w:spacing w:lineRule="exact" w:line="240"/>
        <w:ind w:start="2880" w:end="0"/>
        <w:jc w:val="both"/>
        <w:rPr>
          <w:sz w:val="22"/>
        </w:rPr>
      </w:pPr>
      <w:r>
        <w:rPr>
          <w:sz w:val="22"/>
        </w:rPr>
        <w:t>Fax No.:  (713) 646-3422</w:t>
      </w:r>
    </w:p>
    <w:p>
      <w:pPr>
        <w:pStyle w:val="Normal"/>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xml:space="preserve">.  </w:t>
      </w:r>
      <w:r>
        <w:rPr>
          <w:b/>
          <w:sz w:val="22"/>
        </w:rPr>
        <w:t>THIS GUARANTY SHALL IN ALL RESPECTS BE GOVERNED BY, AND CONSTRUED IN ACCORDANCE WITH, THE LAW OF THE STATE OF TEXAS, WITHOUT REGARD TO PRINCIPLES OF CONFLICTS OF LAWS.</w:t>
      </w:r>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199_,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sz w:val="22"/>
        </w:rPr>
      </w:pPr>
      <w:r>
        <w:rPr>
          <w:sz w:val="22"/>
        </w:rPr>
        <w:t xml:space="preserve">Title:  </w:t>
      </w:r>
      <w:r>
        <w:rPr>
          <w:sz w:val="22"/>
          <w:u w:val="single"/>
        </w:rPr>
        <w:tab/>
        <w:tab/>
        <w:tab/>
        <w:tab/>
        <w:tab/>
      </w:r>
    </w:p>
    <w:p>
      <w:pPr>
        <w:pStyle w:val="Normal"/>
        <w:rPr>
          <w:sz w:val="22"/>
        </w:rPr>
      </w:pPr>
      <w:r>
        <w:rPr>
          <w:sz w:val="22"/>
        </w:rPr>
      </w:r>
    </w:p>
    <w:p>
      <w:pPr>
        <w:pStyle w:val="Normal"/>
        <w:rPr>
          <w:sz w:val="22"/>
        </w:rPr>
      </w:pPr>
      <w:r>
        <w:rPr>
          <w:sz w:val="22"/>
        </w:rPr>
      </w:r>
    </w:p>
    <w:sectPr>
      <w:headerReference w:type="default" r:id="rId11"/>
      <w:headerReference w:type="first" r:id="rId12"/>
      <w:footerReference w:type="default" r:id="rId13"/>
      <w:footerReference w:type="first" r:id="rId1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/mnt/main-storage/datasets/enron-docs/doc/chaseanx1Form.doc</w:t>
    </w:r>
    <w:r>
      <w:rPr>
        <w:sz w:val="12"/>
      </w:rPr>
      <w:fldChar w:fldCharType="end"/>
    </w:r>
  </w:p>
  <w:p>
    <w:pPr>
      <w:pStyle w:val="Footer"/>
      <w:rPr>
        <w:sz w:val="16"/>
      </w:rPr>
    </w:pPr>
    <w:r>
      <w:rPr>
        <w:sz w:val="12"/>
      </w:rPr>
      <w:t>DRAFT-01/06/98</w:t>
    </w:r>
  </w:p>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16</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t>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N:\COMMON\LEGAL\YAPASU\DOCUMENT\chaseanx1.doc</w:t>
    </w:r>
  </w:p>
  <w:p>
    <w:pPr>
      <w:pStyle w:val="Footer"/>
      <w:rPr>
        <w:sz w:val="16"/>
      </w:rPr>
    </w:pPr>
    <w:r>
      <w:rPr>
        <w:sz w:val="12"/>
      </w:rPr>
      <w:t>DRAFT - 01/06/98</w:t>
    </w:r>
  </w:p>
  <w:p>
    <w:pPr>
      <w:pStyle w:val="Footer"/>
      <w:rPr>
        <w:sz w:val="22"/>
      </w:rPr>
    </w:pPr>
    <w:r>
      <w:rPr>
        <w:sz w:val="22"/>
      </w:rPr>
    </w:r>
  </w:p>
  <w:p>
    <w:pPr>
      <w:pStyle w:val="Footer"/>
      <w:jc w:val="center"/>
      <w:rPr>
        <w:sz w:val="22"/>
      </w:rPr>
    </w:pPr>
    <w:r>
      <w:rPr>
        <w:sz w:val="22"/>
      </w:rPr>
      <w:t>17</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t>N:\COMMON\LEGAL\YAPASU\DOCUMENT\chaseanx1.doc</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sz w:val="20"/>
                            </w:rPr>
                            <w:t>22</w:t>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36.15pt;mso-position-horizontal:center;mso-position-horizontal-relative:margin">
              <v:fill opacity="0f"/>
              <v:textbox inset="0in,0in,0in,0in">
                <w:txbxContent>
                  <w:p>
                    <w:pPr>
                      <w:pStyle w:val="Footer"/>
                      <w:rPr/>
                    </w:pPr>
                    <w:r>
                      <w:rPr>
                        <w:rStyle w:val="PageNumber"/>
                        <w:sz w:val="20"/>
                      </w:rPr>
                      <w:t>22</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p>
    <w:pPr>
      <w:pStyle w:val="Footer"/>
      <w:ind w:end="360"/>
      <w:rPr>
        <w:sz w:val="12"/>
      </w:rPr>
    </w:pPr>
    <w:r>
      <w:rPr>
        <w:sz w:val="12"/>
      </w:rPr>
      <w:t>DRAFT - 01/06/98</w:t>
    </w:r>
  </w:p>
  <w:p>
    <w:pPr>
      <w:pStyle w:val="Footer"/>
      <w:ind w:end="360"/>
      <w:jc w:val="center"/>
      <w:rPr>
        <w:sz w:val="12"/>
      </w:rPr>
    </w:pPr>
    <w:r>
      <w:rPr>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N:/legal/mheard/forms/guaranty.doc</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1999-04-07T19:49:00Z</dcterms:created>
  <dc:creator>Enron</dc:creator>
  <dc:description/>
  <dc:language>en-CA</dc:language>
  <cp:lastModifiedBy>cstclai</cp:lastModifiedBy>
  <cp:lastPrinted>1999-04-07T17:37:00Z</cp:lastPrinted>
  <dcterms:modified xsi:type="dcterms:W3CDTF">1999-04-07T20:07:00Z</dcterms:modified>
  <cp:revision>3</cp:revision>
  <dc:subject/>
  <dc:title>ANNEX I</dc:title>
</cp:coreProperties>
</file>