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lang w:val="en-US"/>
        </w:rPr>
      </w:pPr>
      <w:r>
        <w:rPr>
          <w:b/>
          <w:lang w:val="en-US"/>
        </w:rPr>
        <w:t>EXHIBIT 1</w:t>
      </w:r>
    </w:p>
    <w:p>
      <w:pPr>
        <w:pStyle w:val="Normal"/>
        <w:jc w:val="center"/>
        <w:rPr>
          <w:b/>
          <w:lang w:val="en-US"/>
        </w:rPr>
      </w:pPr>
      <w:r>
        <w:rPr>
          <w:b/>
          <w:lang w:val="en-US"/>
        </w:rPr>
      </w:r>
    </w:p>
    <w:p>
      <w:pPr>
        <w:pStyle w:val="Normal"/>
        <w:jc w:val="center"/>
        <w:rPr>
          <w:b/>
          <w:lang w:val="en-US"/>
        </w:rPr>
      </w:pPr>
      <w:r>
        <w:rPr>
          <w:b/>
          <w:lang w:val="en-US"/>
        </w:rPr>
      </w:r>
    </w:p>
    <w:p>
      <w:pPr>
        <w:pStyle w:val="Normal"/>
        <w:jc w:val="center"/>
        <w:rPr>
          <w:b/>
          <w:lang w:val="en-US"/>
        </w:rPr>
      </w:pPr>
      <w:r>
        <w:rPr>
          <w:b/>
          <w:lang w:val="en-US"/>
        </w:rPr>
      </w:r>
    </w:p>
    <w:p>
      <w:pPr>
        <w:pStyle w:val="Normal"/>
        <w:jc w:val="center"/>
        <w:rPr>
          <w:b/>
          <w:lang w:val="en-US"/>
        </w:rPr>
      </w:pPr>
      <w:r>
        <w:rPr>
          <w:b/>
          <w:lang w:val="en-US"/>
        </w:rPr>
        <w:t>SUMMARY CHARTS</w:t>
      </w:r>
    </w:p>
    <w:p>
      <w:pPr>
        <w:pStyle w:val="Normal"/>
        <w:rPr>
          <w:b/>
          <w:lang w:val="en-US"/>
        </w:rPr>
      </w:pPr>
      <w:r>
        <w:rPr>
          <w:b/>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The charts below summarize the most relevant issues of the questionnaire.</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b/>
          <w:lang w:val="en-US"/>
        </w:rPr>
      </w:pPr>
      <w:r>
        <w:rPr>
          <w:b/>
          <w:lang w:val="en-US"/>
        </w:rPr>
        <w:t xml:space="preserve">Scenario 1: Enron Foreign Entity / Brazilian Counterparty </w:t>
      </w:r>
    </w:p>
    <w:p>
      <w:pPr>
        <w:pStyle w:val="Normal"/>
        <w:rPr>
          <w:b/>
          <w:lang w:val="en-US"/>
        </w:rPr>
      </w:pPr>
      <w:r>
        <w:rPr>
          <w:b/>
          <w:lang w:val="en-US"/>
        </w:rPr>
      </w:r>
    </w:p>
    <w:p>
      <w:pPr>
        <w:pStyle w:val="Normal"/>
        <w:rPr>
          <w:lang w:val="en-US"/>
        </w:rPr>
      </w:pPr>
      <w:r>
        <w:rPr>
          <w:lang w:val="en-US"/>
        </w:rPr>
      </w:r>
    </w:p>
    <w:tbl>
      <w:tblPr>
        <w:tblW w:w="9142" w:type="dxa"/>
        <w:jc w:val="start"/>
        <w:tblInd w:w="0" w:type="dxa"/>
        <w:tblLayout w:type="fixed"/>
        <w:tblCellMar>
          <w:top w:w="0" w:type="dxa"/>
          <w:start w:w="70" w:type="dxa"/>
          <w:bottom w:w="0" w:type="dxa"/>
          <w:end w:w="70" w:type="dxa"/>
        </w:tblCellMar>
      </w:tblPr>
      <w:tblGrid>
        <w:gridCol w:w="1488"/>
        <w:gridCol w:w="7654"/>
      </w:tblGrid>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Law</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i/>
                <w:i/>
                <w:sz w:val="22"/>
                <w:lang w:val="en-US"/>
              </w:rPr>
            </w:pPr>
            <w:r>
              <w:rPr>
                <w:sz w:val="22"/>
                <w:lang w:val="en-US"/>
              </w:rPr>
              <w:t>Foreign law can be elected. The counterparty may seek application of Brazilian Law. Court precedents do not show a prevailing trend, but it is very likely that if a Brazilian judge accepts to review the claim, he or she will apply Brazilian Law.</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Jurisdiction</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i/>
                <w:i/>
                <w:sz w:val="22"/>
                <w:lang w:val="en-US"/>
              </w:rPr>
            </w:pPr>
            <w:r>
              <w:rPr>
                <w:sz w:val="22"/>
                <w:lang w:val="en-US"/>
              </w:rPr>
              <w:t>Foreign jurisdiction can be elected. The counterparty may file a suit in Brazilian courts. Court precedents do not show a prevailing trend, but Brazilian judges have legal grounds and power to decide to review the claim or not.</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Language</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The PA, ETA and GTC can be executed in English.</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Exclusion of Liability</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Limitation of liability is accepted. Total exemption from liability may be challenged in court and precedents show that Brazilian judges tend to declare it null and void.</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Advertising Laws</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There is no specific advertising regulation applicable to the transaction. General rules on misleading and deceptive advertising are always applicable.</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Data Protection</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There is no specific data protection regulation applicable to the transaction. It is still unclear whether the general privacy and secrecy rights granted under Brazilian Federal Constitution applies to electronic correspondence or not.</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 xml:space="preserve">Enron’s Contractual Rights </w:t>
            </w:r>
          </w:p>
        </w:tc>
        <w:tc>
          <w:tcPr>
            <w:tcW w:w="7654"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In general, Enron’s contractual rights under the PA, ETA and GTC are valid and enforceable under Brazilian Law.</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Financial Products - Marketing Efforts</w:t>
            </w:r>
          </w:p>
        </w:tc>
        <w:tc>
          <w:tcPr>
            <w:tcW w:w="7654"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 xml:space="preserve">Trades involving financial products can only be carried out in Brazil by a financial institution. Marketing efforts directed to Brazil should not occur. Offer of trades by Brazilians (without direct marketing efforts) is acceptable. </w:t>
            </w:r>
          </w:p>
        </w:tc>
      </w:tr>
    </w:tbl>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pPr>
      <w:r>
        <w:rPr>
          <w:b/>
          <w:lang w:val="en-US"/>
        </w:rPr>
        <w:t>Scenario 2:</w:t>
      </w:r>
      <w:r>
        <w:rPr>
          <w:lang w:val="en-US"/>
        </w:rPr>
        <w:t xml:space="preserve"> </w:t>
      </w:r>
      <w:r>
        <w:rPr>
          <w:b/>
          <w:lang w:val="en-US"/>
        </w:rPr>
        <w:t xml:space="preserve">Enron Brazilian Entity / Brazilian Counterparty </w:t>
      </w:r>
    </w:p>
    <w:p>
      <w:pPr>
        <w:pStyle w:val="Normal"/>
        <w:rPr>
          <w:b/>
          <w:lang w:val="en-US"/>
        </w:rPr>
      </w:pPr>
      <w:r>
        <w:rPr>
          <w:b/>
          <w:lang w:val="en-US"/>
        </w:rPr>
      </w:r>
    </w:p>
    <w:p>
      <w:pPr>
        <w:pStyle w:val="Normal"/>
        <w:rPr>
          <w:lang w:val="en-US"/>
        </w:rPr>
      </w:pPr>
      <w:r>
        <w:rPr>
          <w:lang w:val="en-US"/>
        </w:rPr>
      </w:r>
    </w:p>
    <w:tbl>
      <w:tblPr>
        <w:tblW w:w="9142" w:type="dxa"/>
        <w:jc w:val="start"/>
        <w:tblInd w:w="0" w:type="dxa"/>
        <w:tblLayout w:type="fixed"/>
        <w:tblCellMar>
          <w:top w:w="0" w:type="dxa"/>
          <w:start w:w="70" w:type="dxa"/>
          <w:bottom w:w="0" w:type="dxa"/>
          <w:end w:w="70" w:type="dxa"/>
        </w:tblCellMar>
      </w:tblPr>
      <w:tblGrid>
        <w:gridCol w:w="1488"/>
        <w:gridCol w:w="7654"/>
      </w:tblGrid>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Law</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Foreign law can not be elected.</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Jurisdiction</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Foreign jurisdiction can not be elected.</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Language</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i/>
                <w:i/>
                <w:sz w:val="22"/>
                <w:lang w:val="en-US"/>
              </w:rPr>
            </w:pPr>
            <w:r>
              <w:rPr>
                <w:sz w:val="22"/>
                <w:lang w:val="en-US"/>
              </w:rPr>
              <w:t>The PA, ETA and GTC can be executed in English. However, it could have its validity challenged under Brazilian courts, based on the fact that both parties are Brazilian entities.</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Exclusion of Liability</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Limitation of liability is accepted. Total exemption from liability may be challenged in court and precedents show that Brazilian judges tend to declare it null and void.</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Advertising Laws</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There is no specific advertising regulation applicable to the transaction. General rules on misleading and deceptive advertising are always applicable.</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Data Protection</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There is no specific data protection regulation applicable to the transaction. It is still unclear whether the general privacy and secrecy rights granted under Brazilian Federal Constitution applies to electronic correspondence or not..</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 xml:space="preserve">Enron’s Contractual Rights </w:t>
            </w:r>
          </w:p>
        </w:tc>
        <w:tc>
          <w:tcPr>
            <w:tcW w:w="7654"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In general, Enron’s contractual rights under the PA, ETA and GTC are valid and enforceable under Brazilian Law.</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Financial Products - Marketing Efforts</w:t>
            </w:r>
          </w:p>
        </w:tc>
        <w:tc>
          <w:tcPr>
            <w:tcW w:w="7654"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 xml:space="preserve">Trades involving financial products can only be carried out in Brazil by a financial institution. Marketing efforts directed to Brazil should not occur. Offer of trades by Brazilians (without direct marketing efforts) is acceptable. </w:t>
            </w:r>
          </w:p>
        </w:tc>
      </w:tr>
    </w:tbl>
    <w:p>
      <w:pPr>
        <w:pStyle w:val="Normal"/>
        <w:rPr>
          <w:lang w:val="en-US"/>
        </w:rPr>
      </w:pPr>
      <w:r>
        <w:rPr>
          <w:lang w:val="en-US"/>
        </w:rPr>
      </w:r>
    </w:p>
    <w:p>
      <w:pPr>
        <w:pStyle w:val="Normal"/>
        <w:rPr>
          <w:b/>
          <w:lang w:val="en-US"/>
        </w:rPr>
      </w:pPr>
      <w:r>
        <w:rPr>
          <w:b/>
          <w:lang w:val="en-US"/>
        </w:rPr>
      </w:r>
    </w:p>
    <w:p>
      <w:pPr>
        <w:pStyle w:val="Normal"/>
        <w:rPr>
          <w:b/>
          <w:lang w:val="en-US"/>
        </w:rPr>
      </w:pPr>
      <w:r>
        <w:rPr>
          <w:b/>
          <w:lang w:val="en-US"/>
        </w:rPr>
      </w:r>
    </w:p>
    <w:p>
      <w:pPr>
        <w:pStyle w:val="Normal"/>
        <w:rPr>
          <w:lang w:val="en-US"/>
        </w:rPr>
      </w:pPr>
      <w:r>
        <w:rPr>
          <w:lang w:val="en-US"/>
        </w:rPr>
      </w:r>
    </w:p>
    <w:sectPr>
      <w:headerReference w:type="default" r:id="rId2"/>
      <w:headerReference w:type="first" r:id="rId3"/>
      <w:footerReference w:type="default" r:id="rId4"/>
      <w:footerReference w:type="first" r:id="rId5"/>
      <w:type w:val="nextPage"/>
      <w:pgSz w:w="11906" w:h="16838"/>
      <w:pgMar w:left="1758" w:right="851" w:gutter="0" w:header="1077" w:top="2722" w:footer="851" w:bottom="102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/mnt/main-storage/datasets/enron-docs/doc/chart_PN_2.doc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/mnt/main-storage/datasets/enron-docs/doc/chart_PN_2.doc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Garamond" w:hAnsi="Garamond" w:eastAsia="Times New Roman" w:cs="Garamond"/>
      <w:color w:val="auto"/>
      <w:sz w:val="26"/>
      <w:szCs w:val="20"/>
      <w:lang w:val="pt-BR" w:eastAsia="zh-CN" w:bidi="hi-IN"/>
    </w:rPr>
  </w:style>
  <w:style w:type="paragraph" w:styleId="Heading1">
    <w:name w:val="heading 1"/>
    <w:basedOn w:val="Normal"/>
    <w:next w:val="Normal"/>
    <w:qFormat/>
    <w:pPr>
      <w:numPr>
        <w:ilvl w:val="0"/>
        <w:numId w:val="1"/>
      </w:numPr>
      <w:spacing w:lineRule="exact" w:line="360"/>
      <w:outlineLvl w:val="0"/>
    </w:pPr>
    <w:rPr>
      <w:lang w:val="en-CA"/>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jc w:val="end"/>
    </w:pPr>
    <w:rPr>
      <w:rFonts w:ascii="Garamond" w:hAnsi="Garamond" w:cs="Garamond"/>
      <w:sz w:val="26"/>
      <w:lang w:val="en-US"/>
    </w:rPr>
  </w:style>
  <w:style w:type="paragraph" w:styleId="Footer">
    <w:name w:val="footer"/>
    <w:basedOn w:val="Normal"/>
    <w:pPr>
      <w:widowControl w:val="false"/>
      <w:spacing w:lineRule="exact" w:line="360"/>
    </w:pPr>
    <w:rPr>
      <w:rFonts w:ascii="Garamond" w:hAnsi="Garamond" w:cs="Garamond"/>
      <w:sz w:val="14"/>
      <w:lang w:val="en-US"/>
    </w:rPr>
  </w:style>
  <w:style w:type="paragraph" w:styleId="FootnoteText">
    <w:name w:val="footnote text"/>
    <w:basedOn w:val="Normal"/>
    <w:pPr>
      <w:tabs>
        <w:tab w:val="clear" w:pos="720"/>
        <w:tab w:val="left" w:pos="284" w:leader="none"/>
      </w:tabs>
      <w:ind w:hanging="284" w:start="284" w:end="0"/>
      <w:jc w:val="both"/>
    </w:pPr>
    <w:rPr>
      <w:rFonts w:ascii="Garamond" w:hAnsi="Garamond" w:cs="Garamond"/>
      <w:b/>
      <w:i/>
      <w:sz w:val="16"/>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720"/>
        <w:tab w:val="center" w:pos="4648" w:leader="none"/>
        <w:tab w:val="right" w:pos="929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2000-06-16T14:43:00Z</dcterms:created>
  <dc:creator>Rodrigo Salles</dc:creator>
  <dc:description/>
  <dc:language>en-CA</dc:language>
  <cp:lastModifiedBy>Enron</cp:lastModifiedBy>
  <cp:lastPrinted>2000-06-09T12:02:00Z</cp:lastPrinted>
  <dcterms:modified xsi:type="dcterms:W3CDTF">2000-06-16T14:43:00Z</dcterms:modified>
  <cp:revision>2</cp:revision>
  <dc:subject/>
  <dc:title>SUMMARY CHART</dc:title>
</cp:coreProperties>
</file>