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lang w:val="en-US"/>
        </w:rPr>
      </w:pPr>
      <w:r>
        <w:rPr>
          <w:lang w:val="en-US"/>
        </w:rPr>
        <w:t>TGS Stamp Tax Contingency updated as of 1/31/2000</w:t>
      </w:r>
    </w:p>
    <w:p>
      <w:pPr>
        <w:pStyle w:val="Normal"/>
        <w:jc w:val="center"/>
        <w:rPr>
          <w:sz w:val="24"/>
          <w:lang w:val="en-US"/>
        </w:rPr>
      </w:pPr>
      <w:r>
        <w:rPr>
          <w:sz w:val="24"/>
          <w:lang w:val="en-US"/>
        </w:rPr>
        <w:t>(information provided by TGS)</w:t>
      </w:r>
    </w:p>
    <w:p>
      <w:pPr>
        <w:pStyle w:val="Normal"/>
        <w:rPr>
          <w:sz w:val="24"/>
          <w:lang w:val="en-US"/>
        </w:rPr>
      </w:pPr>
      <w:r>
        <w:rPr>
          <w:sz w:val="24"/>
          <w:lang w:val="en-US"/>
        </w:rPr>
      </w:r>
    </w:p>
    <w:tbl>
      <w:tblPr>
        <w:tblW w:w="13934" w:type="dxa"/>
        <w:jc w:val="center"/>
        <w:tblInd w:w="0" w:type="dxa"/>
        <w:tblLayout w:type="fixed"/>
        <w:tblCellMar>
          <w:top w:w="0" w:type="dxa"/>
          <w:start w:w="100" w:type="dxa"/>
          <w:bottom w:w="0" w:type="dxa"/>
          <w:end w:w="100" w:type="dxa"/>
        </w:tblCellMar>
      </w:tblPr>
      <w:tblGrid>
        <w:gridCol w:w="7516"/>
        <w:gridCol w:w="1588"/>
        <w:gridCol w:w="1530"/>
        <w:gridCol w:w="1620"/>
        <w:gridCol w:w="1680"/>
      </w:tblGrid>
      <w:tr>
        <w:trPr>
          <w:trHeight w:val="403" w:hRule="atLeast"/>
        </w:trPr>
        <w:tc>
          <w:tcPr>
            <w:tcW w:w="7516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lang w:val="en-US"/>
              </w:rPr>
            </w:pPr>
            <w:r>
              <w:rPr>
                <w:b/>
                <w:sz w:val="28"/>
                <w:lang w:val="en-US"/>
              </w:rPr>
              <w:t>Provinces</w:t>
            </w:r>
          </w:p>
        </w:tc>
        <w:tc>
          <w:tcPr>
            <w:tcW w:w="1588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Capital</w:t>
            </w:r>
          </w:p>
          <w:p>
            <w:pPr>
              <w:pStyle w:val="Normal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($ millions)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Interests</w:t>
            </w:r>
          </w:p>
          <w:p>
            <w:pPr>
              <w:pStyle w:val="Normal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($ millions)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Fines</w:t>
            </w:r>
          </w:p>
          <w:p>
            <w:pPr>
              <w:pStyle w:val="Normal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($ millions)</w:t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Total</w:t>
            </w:r>
          </w:p>
          <w:p>
            <w:pPr>
              <w:pStyle w:val="Normal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($ millions)</w:t>
            </w:r>
          </w:p>
        </w:tc>
      </w:tr>
      <w:tr>
        <w:trPr>
          <w:trHeight w:val="403" w:hRule="atLeast"/>
        </w:trPr>
        <w:tc>
          <w:tcPr>
            <w:tcW w:w="7516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  <w:lang w:val="en-US"/>
              </w:rPr>
            </w:pPr>
            <w:r>
              <w:rPr>
                <w:b/>
                <w:sz w:val="28"/>
                <w:lang w:val="en-US"/>
              </w:rPr>
              <w:t>Neuquén</w:t>
            </w:r>
          </w:p>
        </w:tc>
        <w:tc>
          <w:tcPr>
            <w:tcW w:w="1588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403" w:hRule="atLeast"/>
        </w:trPr>
        <w:tc>
          <w:tcPr>
            <w:tcW w:w="7516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Contracts for gas transportation executed before privatization (1)</w:t>
            </w:r>
          </w:p>
        </w:tc>
        <w:tc>
          <w:tcPr>
            <w:tcW w:w="1588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40.2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57.0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40.2</w:t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137.4</w:t>
            </w:r>
          </w:p>
        </w:tc>
      </w:tr>
      <w:tr>
        <w:trPr>
          <w:trHeight w:val="403" w:hRule="atLeast"/>
        </w:trPr>
        <w:tc>
          <w:tcPr>
            <w:tcW w:w="7516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Stock and Purchase Agreement (2)        </w:t>
            </w:r>
          </w:p>
        </w:tc>
        <w:tc>
          <w:tcPr>
            <w:tcW w:w="1588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7.7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13.8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21.5</w:t>
            </w:r>
          </w:p>
        </w:tc>
      </w:tr>
      <w:tr>
        <w:trPr>
          <w:trHeight w:val="403" w:hRule="atLeast"/>
        </w:trPr>
        <w:tc>
          <w:tcPr>
            <w:tcW w:w="7516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Technical Assistance Agreement (2)</w:t>
            </w:r>
          </w:p>
        </w:tc>
        <w:tc>
          <w:tcPr>
            <w:tcW w:w="1588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2.6</w:t>
            </w:r>
          </w:p>
        </w:tc>
      </w:tr>
      <w:tr>
        <w:trPr>
          <w:trHeight w:val="403" w:hRule="atLeast"/>
        </w:trPr>
        <w:tc>
          <w:tcPr>
            <w:tcW w:w="7516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Subtotal Neuquén </w:t>
            </w:r>
          </w:p>
        </w:tc>
        <w:tc>
          <w:tcPr>
            <w:tcW w:w="1588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49.0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72.3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40.2</w:t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161.5</w:t>
            </w:r>
          </w:p>
        </w:tc>
      </w:tr>
      <w:tr>
        <w:trPr>
          <w:trHeight w:val="403" w:hRule="atLeast"/>
        </w:trPr>
        <w:tc>
          <w:tcPr>
            <w:tcW w:w="7516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  <w:lang w:val="en-US"/>
              </w:rPr>
            </w:pPr>
            <w:r>
              <w:rPr>
                <w:b/>
                <w:sz w:val="28"/>
                <w:lang w:val="en-US"/>
              </w:rPr>
              <w:t>Río Negro</w:t>
            </w:r>
          </w:p>
        </w:tc>
        <w:tc>
          <w:tcPr>
            <w:tcW w:w="1588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403" w:hRule="atLeast"/>
        </w:trPr>
        <w:tc>
          <w:tcPr>
            <w:tcW w:w="7516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Contracts for gas transportation executed before &amp; after privatization (3)</w:t>
            </w:r>
          </w:p>
        </w:tc>
        <w:tc>
          <w:tcPr>
            <w:tcW w:w="1588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87.0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86.0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168.0</w:t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341.0</w:t>
            </w:r>
          </w:p>
        </w:tc>
      </w:tr>
      <w:tr>
        <w:trPr>
          <w:trHeight w:val="403" w:hRule="atLeast"/>
        </w:trPr>
        <w:tc>
          <w:tcPr>
            <w:tcW w:w="7516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  <w:lang w:val="en-US"/>
              </w:rPr>
            </w:pPr>
            <w:r>
              <w:rPr>
                <w:b/>
                <w:sz w:val="28"/>
                <w:lang w:val="en-US"/>
              </w:rPr>
              <w:t>Santa Cruz</w:t>
            </w:r>
          </w:p>
        </w:tc>
        <w:tc>
          <w:tcPr>
            <w:tcW w:w="1588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403" w:hRule="atLeast"/>
        </w:trPr>
        <w:tc>
          <w:tcPr>
            <w:tcW w:w="7516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Contracts for gas transportation executed before &amp; after privatization (4)</w:t>
            </w:r>
          </w:p>
        </w:tc>
        <w:tc>
          <w:tcPr>
            <w:tcW w:w="1588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17.0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14.1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31.1</w:t>
            </w:r>
          </w:p>
        </w:tc>
      </w:tr>
      <w:tr>
        <w:trPr>
          <w:trHeight w:val="403" w:hRule="atLeast"/>
        </w:trPr>
        <w:tc>
          <w:tcPr>
            <w:tcW w:w="75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24"/>
                <w:lang w:val="en-US"/>
              </w:rPr>
            </w:pPr>
            <w:r>
              <w:rPr>
                <w:b/>
                <w:sz w:val="28"/>
                <w:lang w:val="en-US"/>
              </w:rPr>
              <w:t>Total</w:t>
            </w:r>
          </w:p>
        </w:tc>
        <w:tc>
          <w:tcPr>
            <w:tcW w:w="15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153.0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172.4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208.2</w:t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533.6</w:t>
            </w:r>
          </w:p>
        </w:tc>
      </w:tr>
    </w:tbl>
    <w:p>
      <w:pPr>
        <w:pStyle w:val="Normal"/>
        <w:spacing w:before="120" w:after="120"/>
        <w:rPr>
          <w:sz w:val="22"/>
          <w:lang w:val="en-US"/>
        </w:rPr>
      </w:pPr>
      <w:r>
        <w:rPr>
          <w:b/>
          <w:sz w:val="22"/>
          <w:u w:val="single"/>
          <w:lang w:val="en-US"/>
        </w:rPr>
        <w:t>Procedural Status:</w:t>
      </w:r>
    </w:p>
    <w:p>
      <w:pPr>
        <w:pStyle w:val="Normal"/>
        <w:numPr>
          <w:ilvl w:val="0"/>
          <w:numId w:val="2"/>
        </w:numPr>
        <w:rPr>
          <w:sz w:val="22"/>
          <w:lang w:val="en-US"/>
        </w:rPr>
      </w:pPr>
      <w:r>
        <w:rPr>
          <w:sz w:val="22"/>
          <w:lang w:val="en-US"/>
        </w:rPr>
        <w:t>Final assessment notified on December 23</w:t>
      </w:r>
      <w:r>
        <w:rPr>
          <w:sz w:val="22"/>
          <w:vertAlign w:val="superscript"/>
          <w:lang w:val="en-US"/>
        </w:rPr>
        <w:t>rd</w:t>
      </w:r>
      <w:r>
        <w:rPr>
          <w:sz w:val="22"/>
          <w:lang w:val="en-US"/>
        </w:rPr>
        <w:t xml:space="preserve"> (no reference to interest due).  Final assessment of fines still pending.  TGS filed administrative motion for appeal January 6</w:t>
      </w:r>
      <w:r>
        <w:rPr>
          <w:sz w:val="22"/>
          <w:vertAlign w:val="superscript"/>
          <w:lang w:val="en-US"/>
        </w:rPr>
        <w:t>th</w:t>
      </w:r>
      <w:r>
        <w:rPr>
          <w:sz w:val="22"/>
          <w:lang w:val="en-US"/>
        </w:rPr>
        <w:t>, 2000.</w:t>
      </w:r>
    </w:p>
    <w:p>
      <w:pPr>
        <w:pStyle w:val="Normal"/>
        <w:numPr>
          <w:ilvl w:val="0"/>
          <w:numId w:val="2"/>
        </w:numPr>
        <w:rPr>
          <w:sz w:val="22"/>
          <w:lang w:val="en-US"/>
        </w:rPr>
      </w:pPr>
      <w:r>
        <w:rPr>
          <w:sz w:val="22"/>
          <w:lang w:val="en-US"/>
        </w:rPr>
        <w:t>Preliminary assessment notified on November 28, 1998.  TGS filed administrative answer January 26</w:t>
      </w:r>
      <w:r>
        <w:rPr>
          <w:sz w:val="22"/>
          <w:vertAlign w:val="superscript"/>
          <w:lang w:val="en-US"/>
        </w:rPr>
        <w:t>th</w:t>
      </w:r>
      <w:r>
        <w:rPr>
          <w:sz w:val="22"/>
          <w:lang w:val="en-US"/>
        </w:rPr>
        <w:t>, 1999.  No final assessment yet.</w:t>
      </w:r>
    </w:p>
    <w:p>
      <w:pPr>
        <w:pStyle w:val="Normal"/>
        <w:numPr>
          <w:ilvl w:val="0"/>
          <w:numId w:val="2"/>
        </w:numPr>
        <w:rPr>
          <w:sz w:val="22"/>
          <w:lang w:val="en-US"/>
        </w:rPr>
      </w:pPr>
      <w:r>
        <w:rPr>
          <w:sz w:val="22"/>
          <w:lang w:val="en-US"/>
        </w:rPr>
        <w:t>Final assessment notified on September 10</w:t>
      </w:r>
      <w:r>
        <w:rPr>
          <w:sz w:val="22"/>
          <w:vertAlign w:val="superscript"/>
          <w:lang w:val="en-US"/>
        </w:rPr>
        <w:t>th</w:t>
      </w:r>
      <w:r>
        <w:rPr>
          <w:sz w:val="22"/>
          <w:lang w:val="en-US"/>
        </w:rPr>
        <w:t>, 1999.  The term to file the motion for appeal is extended until approximately 2/15/2000 (based on administrative holidays).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  <w:lang w:val="en-US"/>
        </w:rPr>
        <w:t>Preliminary assessment notified on October 26</w:t>
      </w:r>
      <w:r>
        <w:rPr>
          <w:sz w:val="22"/>
          <w:vertAlign w:val="superscript"/>
          <w:lang w:val="en-US"/>
        </w:rPr>
        <w:t>th</w:t>
      </w:r>
      <w:r>
        <w:rPr>
          <w:sz w:val="22"/>
          <w:lang w:val="en-US"/>
        </w:rPr>
        <w:t>, 1999.  Interests and fines were not included but estimated by TGS on chart.  Santa Cruz agreed to extend the term for TGS to file its answer until 3/1/2000.  TGS filed a declaration action against Santa Cruz and request for injunction from payment, with the Federal Supreme Court on December 23</w:t>
      </w:r>
      <w:r>
        <w:rPr>
          <w:sz w:val="22"/>
          <w:vertAlign w:val="superscript"/>
          <w:lang w:val="en-US"/>
        </w:rPr>
        <w:t>rd</w:t>
      </w:r>
      <w:r>
        <w:rPr>
          <w:sz w:val="22"/>
          <w:lang w:val="en-US"/>
        </w:rPr>
        <w:t>, 1999.</w:t>
      </w:r>
    </w:p>
    <w:p>
      <w:pPr>
        <w:pStyle w:val="Normal"/>
        <w:rPr/>
      </w:pPr>
      <w:r>
        <w:rPr/>
        <w:t xml:space="preserve"> </w:t>
      </w:r>
    </w:p>
    <w:p>
      <w:pPr>
        <w:pStyle w:val="Heading1"/>
        <w:ind w:hanging="0" w:start="0"/>
        <w:rPr>
          <w:sz w:val="24"/>
        </w:rPr>
      </w:pPr>
      <w:r>
        <w:rPr/>
        <w:t>Ciesa IncomeTax claim</w:t>
      </w:r>
    </w:p>
    <w:p>
      <w:pPr>
        <w:pStyle w:val="Normal"/>
        <w:jc w:val="center"/>
        <w:rPr>
          <w:sz w:val="24"/>
          <w:lang w:val="en-GB"/>
        </w:rPr>
      </w:pPr>
      <w:r>
        <w:rPr>
          <w:sz w:val="24"/>
          <w:lang w:val="en-GB"/>
        </w:rPr>
        <w:t>(this information comes from the final assessment made by the IRS)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</w:r>
    </w:p>
    <w:tbl>
      <w:tblPr>
        <w:tblW w:w="13836" w:type="dxa"/>
        <w:jc w:val="center"/>
        <w:tblInd w:w="0" w:type="dxa"/>
        <w:tblLayout w:type="fixed"/>
        <w:tblCellMar>
          <w:top w:w="0" w:type="dxa"/>
          <w:start w:w="100" w:type="dxa"/>
          <w:bottom w:w="0" w:type="dxa"/>
          <w:end w:w="100" w:type="dxa"/>
        </w:tblCellMar>
      </w:tblPr>
      <w:tblGrid>
        <w:gridCol w:w="4114"/>
        <w:gridCol w:w="2494"/>
        <w:gridCol w:w="2717"/>
        <w:gridCol w:w="2430"/>
        <w:gridCol w:w="2081"/>
      </w:tblGrid>
      <w:tr>
        <w:trPr>
          <w:trHeight w:val="403" w:hRule="atLeast"/>
        </w:trPr>
        <w:tc>
          <w:tcPr>
            <w:tcW w:w="4114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lang w:val="en-GB"/>
              </w:rPr>
            </w:pPr>
            <w:r>
              <w:rPr>
                <w:b/>
                <w:sz w:val="28"/>
                <w:lang w:val="en-GB"/>
              </w:rPr>
              <w:t>Capital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b/>
                <w:sz w:val="28"/>
                <w:lang w:val="en-GB"/>
              </w:rPr>
              <w:t>$</w:t>
            </w:r>
          </w:p>
        </w:tc>
        <w:tc>
          <w:tcPr>
            <w:tcW w:w="271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lang w:val="en-GB"/>
              </w:rPr>
            </w:pPr>
            <w:r>
              <w:rPr>
                <w:b/>
                <w:sz w:val="28"/>
                <w:lang w:val="en-GB"/>
              </w:rPr>
              <w:t>Interests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b/>
                <w:sz w:val="28"/>
                <w:lang w:val="en-GB"/>
              </w:rPr>
              <w:t>$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lang w:val="en-GB"/>
              </w:rPr>
            </w:pPr>
            <w:r>
              <w:rPr>
                <w:b/>
                <w:sz w:val="28"/>
                <w:lang w:val="en-GB"/>
              </w:rPr>
              <w:t>Fine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b/>
                <w:sz w:val="28"/>
                <w:lang w:val="en-GB"/>
              </w:rPr>
              <w:t>$</w:t>
            </w:r>
          </w:p>
        </w:tc>
        <w:tc>
          <w:tcPr>
            <w:tcW w:w="208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lang w:val="en-GB"/>
              </w:rPr>
            </w:pPr>
            <w:r>
              <w:rPr>
                <w:b/>
                <w:sz w:val="28"/>
                <w:lang w:val="en-GB"/>
              </w:rPr>
              <w:t>Total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b/>
                <w:sz w:val="24"/>
                <w:lang w:val="en-GB"/>
              </w:rPr>
              <w:t>$</w:t>
            </w:r>
          </w:p>
        </w:tc>
      </w:tr>
      <w:tr>
        <w:trPr>
          <w:trHeight w:val="403" w:hRule="atLeast"/>
        </w:trPr>
        <w:tc>
          <w:tcPr>
            <w:tcW w:w="4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8"/>
                <w:lang w:val="en-GB"/>
              </w:rPr>
              <w:t>Capital Gain claimed</w:t>
            </w:r>
            <w:r>
              <w:rPr>
                <w:b/>
                <w:sz w:val="28"/>
                <w:lang w:val="en-GB"/>
              </w:rPr>
              <w:t xml:space="preserve"> (1)</w:t>
            </w:r>
          </w:p>
        </w:tc>
        <w:tc>
          <w:tcPr>
            <w:tcW w:w="24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  <w:lang w:val="en-GB"/>
              </w:rPr>
              <w:t>2,276,452.63</w:t>
            </w:r>
          </w:p>
        </w:tc>
        <w:tc>
          <w:tcPr>
            <w:tcW w:w="27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  <w:lang w:val="en-GB"/>
              </w:rPr>
              <w:t>4,889,820.25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  <w:lang w:val="en-GB"/>
              </w:rPr>
              <w:t>1,593,516.84</w:t>
            </w:r>
          </w:p>
        </w:tc>
        <w:tc>
          <w:tcPr>
            <w:tcW w:w="20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  <w:lang w:val="en-GB"/>
              </w:rPr>
              <w:t>8,759,789.72</w:t>
            </w:r>
          </w:p>
        </w:tc>
      </w:tr>
    </w:tbl>
    <w:p>
      <w:pPr>
        <w:pStyle w:val="Normal"/>
        <w:spacing w:before="120" w:after="120"/>
        <w:rPr>
          <w:b/>
          <w:sz w:val="22"/>
          <w:lang w:val="en-GB"/>
        </w:rPr>
      </w:pPr>
      <w:r>
        <w:rPr>
          <w:b/>
          <w:sz w:val="22"/>
          <w:u w:val="single"/>
          <w:lang w:val="en-GB"/>
        </w:rPr>
        <w:t>Procedural Status:</w:t>
      </w:r>
    </w:p>
    <w:p>
      <w:pPr>
        <w:pStyle w:val="Normal"/>
        <w:rPr/>
      </w:pPr>
      <w:r>
        <w:rPr>
          <w:sz w:val="22"/>
          <w:lang w:val="en-GB"/>
        </w:rPr>
        <w:t>(1) The final assessment made by the IRS was notified on December 23</w:t>
      </w:r>
      <w:r>
        <w:rPr>
          <w:sz w:val="22"/>
          <w:vertAlign w:val="superscript"/>
          <w:lang w:val="en-GB"/>
        </w:rPr>
        <w:t>rd</w:t>
      </w:r>
      <w:r>
        <w:rPr>
          <w:sz w:val="22"/>
          <w:lang w:val="en-GB"/>
        </w:rPr>
        <w:t>. The term to file the motion for appeal before the Tax Court expires February 15</w:t>
      </w:r>
      <w:r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>, 2000.</w:t>
      </w:r>
    </w:p>
    <w:sectPr>
      <w:type w:val="nextPage"/>
      <w:pgSz w:orient="landscape" w:w="15840" w:h="12240"/>
      <w:pgMar w:left="1418" w:right="1418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s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u w:val="single"/>
      <w:lang w:val="en-GB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2000-02-01T16:10:00Z</dcterms:created>
  <dc:creator>Usuario HD&amp;S</dc:creator>
  <dc:description/>
  <dc:language>en-CA</dc:language>
  <cp:lastModifiedBy>jcooley</cp:lastModifiedBy>
  <cp:lastPrinted>2000-02-01T12:27:00Z</cp:lastPrinted>
  <dcterms:modified xsi:type="dcterms:W3CDTF">2000-02-04T15:28:00Z</dcterms:modified>
  <cp:revision>3</cp:revision>
  <dc:subject/>
  <dc:title>TGS Stamp Tax Contingency updated as of 2/7/2000</dc:title>
</cp:coreProperties>
</file>