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none"/>
        </w:rPr>
      </w:pPr>
      <w:r>
        <w:rPr>
          <w:b/>
          <w:u w:val="none"/>
        </w:rPr>
        <w:t>ENRONONLINE CHARGE SCHEDULE</w:t>
      </w:r>
    </w:p>
    <w:p>
      <w:pPr>
        <w:pStyle w:val="Normal"/>
        <w:jc w:val="center"/>
        <w:rPr>
          <w:rFonts w:ascii="Arial" w:hAnsi="Arial" w:cs="Arial"/>
          <w:sz w:val="22"/>
        </w:rPr>
      </w:pPr>
      <w:r>
        <w:rPr>
          <w:rFonts w:cs="Arial" w:ascii="Arial" w:hAnsi="Arial"/>
          <w:sz w:val="22"/>
        </w:rPr>
        <w:t>Jan 23, 2001</w:t>
      </w:r>
    </w:p>
    <w:p>
      <w:pPr>
        <w:pStyle w:val="Heading1"/>
        <w:ind w:hanging="0" w:start="0"/>
        <w:rPr>
          <w:rFonts w:ascii="Arial" w:hAnsi="Arial" w:cs="Arial"/>
          <w:sz w:val="22"/>
          <w:u w:val="none"/>
        </w:rPr>
      </w:pPr>
      <w:r>
        <w:rPr>
          <w:rFonts w:cs="Arial"/>
          <w:sz w:val="22"/>
          <w:u w:val="none"/>
        </w:rPr>
      </w:r>
    </w:p>
    <w:p>
      <w:pPr>
        <w:pStyle w:val="Normal"/>
        <w:rPr>
          <w:u w:val="none"/>
        </w:rPr>
      </w:pPr>
      <w:r>
        <w:rPr>
          <w:u w:val="none"/>
        </w:rPr>
      </w:r>
    </w:p>
    <w:p>
      <w:pPr>
        <w:pStyle w:val="Heading1"/>
        <w:ind w:hanging="0" w:start="0"/>
        <w:rPr>
          <w:u w:val="none"/>
        </w:rPr>
      </w:pPr>
      <w:r>
        <w:rPr>
          <w:u w:val="none"/>
        </w:rPr>
        <w:t>This document describes the fees which are in effect for EnronOnline services. For purposes of this analysis, the definition of Products follows the usual EnronOnline definition, but EXCLUDING tenors. (i.e. if the only difference between 2 Products is their tenor, they are considered 1 Product for charging purposes).</w:t>
      </w:r>
    </w:p>
    <w:p>
      <w:pPr>
        <w:pStyle w:val="Heading1"/>
        <w:ind w:hanging="0" w:start="0"/>
        <w:rPr>
          <w:u w:val="none"/>
        </w:rPr>
      </w:pPr>
      <w:r>
        <w:rPr>
          <w:u w:val="none"/>
        </w:rPr>
      </w:r>
    </w:p>
    <w:p>
      <w:pPr>
        <w:pStyle w:val="Heading1"/>
        <w:ind w:hanging="0" w:start="0"/>
        <w:rPr/>
      </w:pPr>
      <w:r>
        <w:rPr/>
      </w:r>
    </w:p>
    <w:p>
      <w:pPr>
        <w:pStyle w:val="Heading1"/>
        <w:ind w:hanging="0" w:start="0"/>
        <w:rPr/>
      </w:pPr>
      <w:r>
        <w:rPr/>
        <w:t>Capacity Trading (3</w:t>
      </w:r>
      <w:r>
        <w:rPr>
          <w:vertAlign w:val="superscript"/>
        </w:rPr>
        <w:t>rd</w:t>
      </w:r>
      <w:r>
        <w:rPr/>
        <w:t xml:space="preserve"> Party Pipelines)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$500,000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3 Product Types and up to 30 total Products. </w:t>
      </w:r>
    </w:p>
    <w:p>
      <w:pPr>
        <w:pStyle w:val="Normal"/>
        <w:numPr>
          <w:ilvl w:val="0"/>
          <w:numId w:val="2"/>
        </w:numPr>
        <w:rPr>
          <w:rFonts w:ascii="Arial" w:hAnsi="Arial" w:cs="Arial"/>
          <w:sz w:val="22"/>
        </w:rPr>
      </w:pPr>
      <w:r>
        <w:rPr>
          <w:rFonts w:cs="Arial" w:ascii="Arial" w:hAnsi="Arial"/>
          <w:sz w:val="22"/>
        </w:rPr>
        <w:t>Includes a license to use the necessary EnronOnline applications (e.g. Stack Manager light)</w:t>
      </w:r>
    </w:p>
    <w:p>
      <w:pPr>
        <w:pStyle w:val="Normal"/>
        <w:numPr>
          <w:ilvl w:val="0"/>
          <w:numId w:val="2"/>
        </w:numPr>
        <w:rPr>
          <w:rFonts w:ascii="Arial" w:hAnsi="Arial" w:cs="Arial"/>
          <w:sz w:val="22"/>
        </w:rPr>
      </w:pPr>
      <w:r>
        <w:rPr>
          <w:rFonts w:cs="Arial" w:ascii="Arial" w:hAnsi="Arial"/>
          <w:sz w:val="22"/>
        </w:rPr>
        <w:t>Includes training for up to 3 users</w:t>
      </w:r>
    </w:p>
    <w:p>
      <w:pPr>
        <w:pStyle w:val="Normal"/>
        <w:numPr>
          <w:ilvl w:val="0"/>
          <w:numId w:val="2"/>
        </w:numPr>
        <w:rPr>
          <w:rFonts w:ascii="Arial" w:hAnsi="Arial" w:cs="Arial"/>
          <w:sz w:val="22"/>
        </w:rPr>
      </w:pPr>
      <w:r>
        <w:rPr>
          <w:rFonts w:cs="Arial" w:ascii="Arial" w:hAnsi="Arial"/>
          <w:sz w:val="22"/>
        </w:rPr>
        <w:t>Includes up to 2 User ID’s.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additional Product Type</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Available only to internal pipelines.</w:t>
      </w:r>
    </w:p>
    <w:p>
      <w:pPr>
        <w:pStyle w:val="Normal"/>
        <w:numPr>
          <w:ilvl w:val="0"/>
          <w:numId w:val="2"/>
        </w:numPr>
        <w:rPr>
          <w:rFonts w:ascii="Arial" w:hAnsi="Arial" w:cs="Arial"/>
          <w:color w:val="0000FF"/>
          <w:sz w:val="22"/>
        </w:rPr>
      </w:pPr>
      <w:r>
        <w:rPr>
          <w:rFonts w:cs="Arial" w:ascii="Arial" w:hAnsi="Arial"/>
          <w:color w:val="0000FF"/>
          <w:sz w:val="22"/>
        </w:rPr>
        <w:t>Pipelines must adhere to existing EnronOnline standard.</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$200,000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3 Product Types, 30 total Products and 2 User ID’s.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p>
    <w:p>
      <w:pPr>
        <w:pStyle w:val="Normal"/>
        <w:rPr>
          <w:rFonts w:ascii="Arial" w:hAnsi="Arial" w:cs="Arial"/>
          <w:sz w:val="22"/>
        </w:rPr>
      </w:pPr>
      <w:r>
        <w:rPr>
          <w:rFonts w:cs="Arial" w:ascii="Arial" w:hAnsi="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rFonts w:ascii="Arial" w:hAnsi="Arial" w:cs="Arial"/>
          <w:sz w:val="22"/>
        </w:rPr>
      </w:pPr>
      <w:r>
        <w:rPr>
          <w:rFonts w:cs="Arial" w:ascii="Arial" w:hAnsi="Arial"/>
          <w:sz w:val="22"/>
        </w:rPr>
        <w:t xml:space="preserve">Charged on an annual basis along with the Basic Maintenance fee. </w:t>
      </w:r>
      <w:r>
        <w:br w:type="page"/>
      </w:r>
    </w:p>
    <w:p>
      <w:pPr>
        <w:pStyle w:val="Normal"/>
        <w:rPr>
          <w:rFonts w:ascii="Arial" w:hAnsi="Arial" w:cs="Arial"/>
          <w:sz w:val="22"/>
        </w:rPr>
      </w:pPr>
      <w:r>
        <w:rPr>
          <w:rFonts w:cs="Arial" w:ascii="Arial" w:hAnsi="Arial"/>
          <w:sz w:val="22"/>
        </w:rPr>
      </w:r>
    </w:p>
    <w:p>
      <w:pPr>
        <w:pStyle w:val="Heading1"/>
        <w:ind w:hanging="0" w:start="0"/>
        <w:rPr/>
      </w:pPr>
      <w:r>
        <w:rPr/>
        <w:t>New Market Area Launch (Enron Companies)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Enron owned entities which do not receive an EnronOnline cost allocation. They are entities which are not located in the Houston or London offices and which desire to add country/commodity combinations to EnronOnline which do not yet exist (e.g. the first product in Brazil or Argentina). The only difference between the New Market Area and the New Business charge schedule which follows is the Initial Setup fee.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$350,000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2 Product Types and up to 15 total Products. </w:t>
      </w:r>
    </w:p>
    <w:p>
      <w:pPr>
        <w:pStyle w:val="Normal"/>
        <w:numPr>
          <w:ilvl w:val="0"/>
          <w:numId w:val="2"/>
        </w:numPr>
        <w:rPr>
          <w:rFonts w:ascii="Arial" w:hAnsi="Arial" w:cs="Arial"/>
          <w:sz w:val="22"/>
        </w:rPr>
      </w:pPr>
      <w:r>
        <w:rPr>
          <w:rFonts w:cs="Arial" w:ascii="Arial" w:hAnsi="Arial"/>
          <w:sz w:val="22"/>
        </w:rPr>
        <w:t>One-time setup fee.</w:t>
      </w:r>
    </w:p>
    <w:p>
      <w:pPr>
        <w:pStyle w:val="Normal"/>
        <w:numPr>
          <w:ilvl w:val="0"/>
          <w:numId w:val="2"/>
        </w:numPr>
        <w:rPr>
          <w:rFonts w:ascii="Arial" w:hAnsi="Arial" w:cs="Arial"/>
          <w:sz w:val="22"/>
        </w:rPr>
      </w:pPr>
      <w:r>
        <w:rPr>
          <w:rFonts w:cs="Arial" w:ascii="Arial" w:hAnsi="Arial"/>
          <w:sz w:val="22"/>
        </w:rPr>
        <w:t>May include some travel to site</w:t>
      </w:r>
    </w:p>
    <w:p>
      <w:pPr>
        <w:pStyle w:val="Normal"/>
        <w:numPr>
          <w:ilvl w:val="0"/>
          <w:numId w:val="2"/>
        </w:numPr>
        <w:rPr>
          <w:rFonts w:ascii="Arial" w:hAnsi="Arial" w:cs="Arial"/>
          <w:sz w:val="22"/>
        </w:rPr>
      </w:pPr>
      <w:r>
        <w:rPr>
          <w:rFonts w:cs="Arial" w:ascii="Arial" w:hAnsi="Arial"/>
          <w:sz w:val="22"/>
        </w:rPr>
        <w:t>Assumes site is already on Enron network</w:t>
      </w:r>
    </w:p>
    <w:p>
      <w:pPr>
        <w:pStyle w:val="Normal"/>
        <w:numPr>
          <w:ilvl w:val="0"/>
          <w:numId w:val="2"/>
        </w:numPr>
        <w:rPr>
          <w:rFonts w:ascii="Arial" w:hAnsi="Arial" w:cs="Arial"/>
          <w:sz w:val="22"/>
        </w:rPr>
      </w:pPr>
      <w:r>
        <w:rPr>
          <w:rFonts w:cs="Arial" w:ascii="Arial" w:hAnsi="Arial"/>
          <w:sz w:val="22"/>
        </w:rPr>
        <w:t>May include some 3</w:t>
      </w:r>
      <w:r>
        <w:rPr>
          <w:rFonts w:cs="Arial" w:ascii="Arial" w:hAnsi="Arial"/>
          <w:sz w:val="22"/>
          <w:vertAlign w:val="superscript"/>
        </w:rPr>
        <w:t>rd</w:t>
      </w:r>
      <w:r>
        <w:rPr>
          <w:rFonts w:cs="Arial" w:ascii="Arial" w:hAnsi="Arial"/>
          <w:sz w:val="22"/>
        </w:rPr>
        <w:t xml:space="preserve"> party legal costs (e.g. ETA research)</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$25,000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Product Type (which does not require a new GTC or the addition of substantial new language elements)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when new bridge development is required.</w:t>
      </w:r>
    </w:p>
    <w:p>
      <w:pPr>
        <w:pStyle w:val="Normal"/>
        <w:numPr>
          <w:ilvl w:val="0"/>
          <w:numId w:val="2"/>
        </w:numPr>
        <w:rPr>
          <w:rFonts w:ascii="Arial" w:hAnsi="Arial" w:cs="Arial"/>
          <w:color w:val="0000FF"/>
          <w:sz w:val="22"/>
        </w:rPr>
      </w:pPr>
      <w:r>
        <w:rPr>
          <w:rFonts w:cs="Arial" w:ascii="Arial" w:hAnsi="Arial"/>
          <w:color w:val="0000FF"/>
          <w:sz w:val="22"/>
        </w:rPr>
        <w:t>Must adhere to existing EnronOnline standards.</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2 Product Types and 15 total Products.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$16,000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r>
        <w:br w:type="page"/>
      </w:r>
    </w:p>
    <w:p>
      <w:pPr>
        <w:pStyle w:val="Heading1"/>
        <w:ind w:hanging="0" w:start="0"/>
        <w:rPr/>
      </w:pPr>
      <w:r>
        <w:rPr/>
        <w:t>New Business Launch (Enron Companies)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Enron owned entities which do not receive an EnronOnline cost allocation. They are entities which have operations in the Houston or London offices and which desire to add new commodities to existing countries (e.g. Bandwidth). The only difference between the New Business and New Market Area charge schedules is the Initial Setup fee.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$250,000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2 Product Types and up to 15 total Products. </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$25,000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Product Type (which does not require a new GTC or the addition of substantial new language elements)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rPr>
          <w:rFonts w:ascii="Arial" w:hAnsi="Arial" w:cs="Arial"/>
          <w:color w:val="0000FF"/>
          <w:sz w:val="22"/>
        </w:rPr>
      </w:pPr>
      <w:r>
        <w:rPr>
          <w:rFonts w:cs="Arial" w:ascii="Arial" w:hAnsi="Arial"/>
          <w:color w:val="0000FF"/>
          <w:sz w:val="22"/>
        </w:rPr>
        <w:t>- Covers bridging of completed transactions when new bridge development is required.</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2 Product Types and 15 total Products.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$16,000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r>
        <w:br w:type="page"/>
      </w:r>
    </w:p>
    <w:p>
      <w:pPr>
        <w:pStyle w:val="Normal"/>
        <w:rPr>
          <w:rFonts w:ascii="Arial" w:hAnsi="Arial" w:cs="Arial"/>
          <w:sz w:val="22"/>
          <w:u w:val="single"/>
        </w:rPr>
      </w:pPr>
      <w:r>
        <w:rPr>
          <w:rFonts w:cs="Arial" w:ascii="Arial" w:hAnsi="Arial"/>
          <w:sz w:val="22"/>
          <w:u w:val="single"/>
        </w:rPr>
        <w:t>Auctions (external or internal)</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This charge structure covers both Enron owned entities which do not receive an EnronOnline cost allocation and non-Enron owned entities.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New Auction Setup</w:t>
        <w:tab/>
        <w:tab/>
        <w:tab/>
        <w:tab/>
        <w:tab/>
        <w:tab/>
        <w:tab/>
        <w:tab/>
        <w:t xml:space="preserve">  $65,000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creation of a set of Auction pages which describe the new Product (page number, layout and functionality as per existing EnronOnline Auctions</w:t>
      </w:r>
    </w:p>
    <w:p>
      <w:pPr>
        <w:pStyle w:val="Normal"/>
        <w:numPr>
          <w:ilvl w:val="0"/>
          <w:numId w:val="2"/>
        </w:numPr>
        <w:rPr>
          <w:rFonts w:ascii="Arial" w:hAnsi="Arial" w:cs="Arial"/>
          <w:sz w:val="22"/>
        </w:rPr>
      </w:pPr>
      <w:r>
        <w:rPr>
          <w:rFonts w:cs="Arial" w:ascii="Arial" w:hAnsi="Arial"/>
          <w:sz w:val="22"/>
        </w:rPr>
        <w:t>Includes installing the Options Manager application on the host’s desktop (one installation). If external, host is to be responsible for all connection costs.</w:t>
      </w:r>
    </w:p>
    <w:p>
      <w:pPr>
        <w:pStyle w:val="Normal"/>
        <w:rPr>
          <w:rFonts w:ascii="Arial" w:hAnsi="Arial" w:cs="Arial"/>
          <w:sz w:val="22"/>
        </w:rPr>
      </w:pPr>
      <w:r>
        <w:rPr>
          <w:rFonts w:cs="Arial" w:ascii="Arial" w:hAnsi="Arial"/>
          <w:sz w:val="22"/>
        </w:rPr>
      </w:r>
    </w:p>
    <w:p>
      <w:pPr>
        <w:pStyle w:val="Heading2"/>
        <w:ind w:hanging="0" w:start="0"/>
        <w:rPr/>
      </w:pPr>
      <w:r>
        <w:rPr/>
        <w:t>Incremental Auction Product Setup/Change to existing Auction</w:t>
        <w:tab/>
        <w:t>$15,000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Setup of an additional auction for a Product which is substantially the same as an existing Auction Product for the subject company (i.e. primarily involves minor reference changes to describe the new Product – for example, a different location for delivery)</w:t>
      </w:r>
    </w:p>
    <w:p>
      <w:pPr>
        <w:pStyle w:val="Normal"/>
        <w:rPr>
          <w:rFonts w:ascii="Arial" w:hAnsi="Arial" w:cs="Arial"/>
          <w:sz w:val="22"/>
        </w:rPr>
      </w:pPr>
      <w:r>
        <w:rPr>
          <w:rFonts w:cs="Arial" w:ascii="Arial" w:hAnsi="Arial"/>
          <w:sz w:val="22"/>
        </w:rPr>
      </w:r>
    </w:p>
    <w:p>
      <w:pPr>
        <w:pStyle w:val="Heading2"/>
        <w:ind w:hanging="0" w:start="0"/>
        <w:rPr/>
      </w:pPr>
      <w:r>
        <w:rPr/>
        <w:t>Per Auction Charge</w:t>
        <w:tab/>
        <w:tab/>
        <w:tab/>
        <w:tab/>
        <w:tab/>
        <w:tab/>
        <w:tab/>
        <w:tab/>
        <w:t>$10,000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incremental Auction which is run on an existing Product. This fee is not charged for the first Auction on a new Product, but is charged for each subsequent auction on that Product.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rFonts w:ascii="Arial" w:hAnsi="Arial" w:cs="Arial"/>
          <w:sz w:val="22"/>
        </w:rPr>
      </w:pPr>
      <w:r>
        <w:rPr>
          <w:rFonts w:cs="Arial" w:ascii="Arial" w:hAnsi="Arial"/>
          <w:sz w:val="22"/>
        </w:rPr>
        <w:t>Charged at the point at which the new User ID is added and then at each anniversary until it is deleted.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2001-01-23T17:01:00Z</dcterms:created>
  <dc:creator>DFORSTER</dc:creator>
  <dc:description/>
  <dc:language>en-CA</dc:language>
  <cp:lastModifiedBy>DFORSTER</cp:lastModifiedBy>
  <cp:lastPrinted>2001-01-23T18:43:00Z</cp:lastPrinted>
  <dcterms:modified xsi:type="dcterms:W3CDTF">2001-01-23T22:33:00Z</dcterms:modified>
  <cp:revision>5</cp:revision>
  <dc:subject/>
  <dc:title>Note: For purposes of this analysis, the definition of Products means as per usual EnronOnline definition, but EXCLUDING tenors</dc:title>
</cp:coreProperties>
</file>