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</w:tabs>
        <w:jc w:val="center"/>
        <w:rPr>
          <w:rFonts w:ascii="Univers" w:hAnsi="Univers" w:cs="Univers"/>
          <w:spacing w:val="24"/>
          <w:sz w:val="32"/>
        </w:rPr>
      </w:pPr>
      <w:r>
        <w:rPr>
          <w:rFonts w:cs="Univers" w:ascii="Univers" w:hAnsi="Univers"/>
          <w:smallCaps/>
          <w:spacing w:val="24"/>
          <w:sz w:val="32"/>
        </w:rPr>
        <w:t>LeBoeuf, Lamb, Greene &amp; MacRae</w:t>
      </w:r>
    </w:p>
    <w:p>
      <w:pPr>
        <w:pStyle w:val="Normal"/>
        <w:tabs>
          <w:tab w:val="clear" w:pos="720"/>
          <w:tab w:val="center" w:pos="4680" w:leader="none"/>
        </w:tabs>
        <w:jc w:val="center"/>
        <w:rPr>
          <w:rFonts w:ascii="Univers" w:hAnsi="Univers" w:cs="Univers"/>
          <w:spacing w:val="22"/>
        </w:rPr>
      </w:pPr>
      <w:r>
        <w:rPr>
          <w:rFonts w:cs="Univers" w:ascii="Univers" w:hAnsi="Univers"/>
          <w:spacing w:val="22"/>
        </w:rPr>
        <w:t>L.L.P.</w:t>
      </w:r>
    </w:p>
    <w:p>
      <w:pPr>
        <w:pStyle w:val="Normal"/>
        <w:tabs>
          <w:tab w:val="clear" w:pos="720"/>
          <w:tab w:val="center" w:pos="4680" w:leader="none"/>
        </w:tabs>
        <w:jc w:val="center"/>
        <w:rPr>
          <w:rFonts w:ascii="Univers" w:hAnsi="Univers" w:cs="Univers"/>
          <w:sz w:val="12"/>
        </w:rPr>
      </w:pPr>
      <w:r>
        <w:rPr>
          <w:rFonts w:cs="Univers" w:ascii="Univers" w:hAnsi="Univers"/>
          <w:spacing w:val="22"/>
          <w:sz w:val="12"/>
        </w:rPr>
        <w:t>A LIMITED LIABILITY PARTNERSHIP INCLUDING PROFESSIONAL CORPORATIONS</w:t>
      </w:r>
    </w:p>
    <w:p>
      <w:pPr>
        <w:pStyle w:val="Normal"/>
        <w:tabs>
          <w:tab w:val="clear" w:pos="720"/>
          <w:tab w:val="center" w:pos="4680" w:leader="none"/>
        </w:tabs>
        <w:jc w:val="center"/>
        <w:rPr>
          <w:rFonts w:ascii="Univers" w:hAnsi="Univers" w:cs="Univers"/>
          <w:sz w:val="22"/>
        </w:rPr>
      </w:pPr>
      <w:r>
        <w:rPr>
          <w:rFonts w:cs="Univers" w:ascii="Univers" w:hAnsi="Univers"/>
          <w:sz w:val="22"/>
        </w:rPr>
      </w:r>
    </w:p>
    <w:p>
      <w:pPr>
        <w:pStyle w:val="Normal"/>
        <w:tabs>
          <w:tab w:val="clear" w:pos="720"/>
          <w:tab w:val="center" w:pos="4680" w:leader="none"/>
        </w:tabs>
        <w:jc w:val="center"/>
        <w:rPr/>
      </w:pPr>
      <w:r>
        <w:rPr>
          <w:rFonts w:cs="Univers" w:ascii="Univers" w:hAnsi="Univers"/>
          <w:sz w:val="20"/>
        </w:rPr>
        <w:t>1000</w:t>
      </w:r>
      <w:r>
        <w:rPr>
          <w:rFonts w:cs="Univers" w:ascii="Univers" w:hAnsi="Univers"/>
          <w:sz w:val="22"/>
        </w:rPr>
        <w:t xml:space="preserve"> Louisiana</w:t>
      </w:r>
    </w:p>
    <w:p>
      <w:pPr>
        <w:pStyle w:val="Normal"/>
        <w:tabs>
          <w:tab w:val="clear" w:pos="720"/>
          <w:tab w:val="center" w:pos="4680" w:leader="none"/>
        </w:tabs>
        <w:jc w:val="center"/>
        <w:rPr>
          <w:rFonts w:ascii="EngraversGothic BT;Arial" w:hAnsi="EngraversGothic BT;Arial" w:cs="EngraversGothic BT;Arial"/>
          <w:sz w:val="14"/>
        </w:rPr>
      </w:pPr>
      <w:r>
        <w:rPr>
          <w:rFonts w:cs="Univers" w:ascii="Univers" w:hAnsi="Univers"/>
          <w:smallCaps/>
          <w:sz w:val="22"/>
        </w:rPr>
        <w:t>Houston, TX  77002</w:t>
      </w:r>
      <w:r>
        <w:rPr>
          <w:rFonts w:cs="Univers" w:ascii="Univers" w:hAnsi="Univers"/>
          <w:sz w:val="22"/>
        </w:rPr>
        <w:t>-5009</w:t>
      </w:r>
    </w:p>
    <w:p>
      <w:pPr>
        <w:pStyle w:val="Normal"/>
        <w:ind w:firstLine="5760" w:end="0"/>
        <w:rPr>
          <w:rFonts w:ascii="EngraversGothic BT;Arial" w:hAnsi="EngraversGothic BT;Arial" w:cs="EngraversGothic BT;Arial"/>
          <w:sz w:val="14"/>
        </w:rPr>
      </w:pPr>
      <w:r>
        <w:rPr>
          <w:rFonts w:cs="EngraversGothic BT;Arial" w:ascii="EngraversGothic BT;Arial" w:hAnsi="EngraversGothic BT;Arial"/>
          <w:sz w:val="14"/>
        </w:rPr>
      </w:r>
    </w:p>
    <w:p>
      <w:pPr>
        <w:pStyle w:val="Normal"/>
        <w:jc w:val="center"/>
        <w:rPr/>
      </w:pPr>
      <w:r>
        <w:rPr/>
        <w:t>March 14, 2001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8028"/>
      </w:tblGrid>
      <w:tr>
        <w:trPr/>
        <w:tc>
          <w:tcPr>
            <w:tcW w:w="1548" w:type="dxa"/>
            <w:tcBorders/>
          </w:tcPr>
          <w:p>
            <w:pPr>
              <w:pStyle w:val="Normal"/>
              <w:tabs>
                <w:tab w:val="clear" w:pos="720"/>
                <w:tab w:val="left" w:pos="-1440" w:leader="none"/>
              </w:tabs>
              <w:rPr>
                <w:sz w:val="22"/>
              </w:rPr>
            </w:pPr>
            <w:r>
              <w:rPr>
                <w:sz w:val="22"/>
              </w:rPr>
              <w:t>TO:</w:t>
            </w:r>
          </w:p>
        </w:tc>
        <w:tc>
          <w:tcPr>
            <w:tcW w:w="8028" w:type="dxa"/>
            <w:tcBorders/>
          </w:tcPr>
          <w:p>
            <w:pPr>
              <w:pStyle w:val="Normal"/>
              <w:rPr/>
            </w:pPr>
            <w:r>
              <w:rPr/>
              <w:t>John Klauberg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tabs>
                <w:tab w:val="clear" w:pos="720"/>
                <w:tab w:val="left" w:pos="-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8028" w:type="dxa"/>
            <w:tcBorders/>
          </w:tcPr>
          <w:p>
            <w:pPr>
              <w:pStyle w:val="Normal"/>
              <w:tabs>
                <w:tab w:val="clear" w:pos="720"/>
                <w:tab w:val="left" w:pos="-1440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tabs>
                <w:tab w:val="clear" w:pos="720"/>
                <w:tab w:val="left" w:pos="-1440" w:leader="none"/>
              </w:tabs>
              <w:rPr/>
            </w:pPr>
            <w:r>
              <w:rPr>
                <w:sz w:val="22"/>
              </w:rPr>
              <w:t>FROM</w:t>
            </w:r>
            <w:r>
              <w:rPr/>
              <w:t>:</w:t>
            </w:r>
          </w:p>
        </w:tc>
        <w:tc>
          <w:tcPr>
            <w:tcW w:w="8028" w:type="dxa"/>
            <w:tcBorders/>
          </w:tcPr>
          <w:p>
            <w:pPr>
              <w:pStyle w:val="Normal"/>
              <w:tabs>
                <w:tab w:val="clear" w:pos="720"/>
                <w:tab w:val="left" w:pos="-1440" w:leader="none"/>
              </w:tabs>
              <w:rPr/>
            </w:pPr>
            <w:r>
              <w:rPr/>
              <w:t>Doug Eyberg</w:t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tabs>
                <w:tab w:val="clear" w:pos="720"/>
                <w:tab w:val="left" w:pos="-1440" w:leader="none"/>
              </w:tabs>
              <w:rPr>
                <w:sz w:val="22"/>
              </w:rPr>
            </w:pPr>
            <w:r>
              <w:rPr>
                <w:sz w:val="22"/>
              </w:rPr>
              <w:t>RE:</w:t>
            </w:r>
          </w:p>
        </w:tc>
        <w:tc>
          <w:tcPr>
            <w:tcW w:w="8028" w:type="dxa"/>
            <w:tcBorders/>
          </w:tcPr>
          <w:p>
            <w:pPr>
              <w:pStyle w:val="Normal"/>
              <w:tabs>
                <w:tab w:val="clear" w:pos="720"/>
                <w:tab w:val="left" w:pos="-1440" w:leader="none"/>
              </w:tabs>
              <w:rPr>
                <w:u w:val="single"/>
              </w:rPr>
            </w:pPr>
            <w:r>
              <w:rPr>
                <w:u w:val="single"/>
              </w:rPr>
              <w:t>Enron Conflicts Waiver Request</w:t>
            </w:r>
          </w:p>
        </w:tc>
      </w:tr>
    </w:tbl>
    <w:p>
      <w:pPr>
        <w:pStyle w:val="Normal"/>
        <w:tabs>
          <w:tab w:val="clear" w:pos="720"/>
          <w:tab w:val="left" w:pos="-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-1440" w:leader="none"/>
        </w:tabs>
        <w:ind w:firstLine="1440" w:end="0"/>
        <w:jc w:val="both"/>
        <w:rPr/>
      </w:pPr>
      <w:r>
        <w:rPr/>
        <w:t xml:space="preserve">We have been asked to represent Centrans Energy Services, Inc., an entity located in Guatemala (“Centrans”), in connection with a potential transfer by Centrans of a portion of its ownership position in a 234 MW barge-mounted power plant in Guatemala (“Power Plant”).  The Power Plant is owned by “PQP LLC”, 75% of which is owned by two different entities in which Centrans and Enron each own 50%.  Thus, Enron and Centrans each owns a 37.5% interest in the Power Plant indirectly, and a third party owns the remaining 25%. </w:t>
      </w:r>
    </w:p>
    <w:p>
      <w:pPr>
        <w:pStyle w:val="Normal"/>
        <w:tabs>
          <w:tab w:val="clear" w:pos="720"/>
          <w:tab w:val="left" w:pos="-1440" w:leader="none"/>
        </w:tabs>
        <w:ind w:firstLine="1440" w:end="0"/>
        <w:jc w:val="both"/>
        <w:rPr/>
      </w:pPr>
      <w:r>
        <w:rPr/>
      </w:r>
    </w:p>
    <w:p>
      <w:pPr>
        <w:pStyle w:val="Normal"/>
        <w:tabs>
          <w:tab w:val="clear" w:pos="720"/>
          <w:tab w:val="left" w:pos="-1440" w:leader="none"/>
        </w:tabs>
        <w:ind w:firstLine="1440" w:end="0"/>
        <w:jc w:val="both"/>
        <w:rPr/>
      </w:pPr>
      <w:r>
        <w:rPr/>
        <w:t xml:space="preserve">Apparently, both Enron and Centrans had discussions with Caribbean Basin Power Fund (“Fund”) concerning a sale of part of their respective interests to the Fund, but only Centrans found the Fund’s terms to be acceptable.  I understand that Enron is agreeable to Centrans’ sale to the Fund (Centrans will be selling 12.5% and remaining as a 25% owner).  I also understand that Enron is an investor in the Fund although I do not know the extent of its interest.  Based on a conversation with the Fund’s in-house counsel, it is clear that Enron is not “managing” or otherwise taking a front line role in negotiations by the Fund.  The Fund will be represented by Thelen Reid &amp; Priest in this transaction.  I am told that Andrews &amp; Kurth represented Enron in connection with this Power Plant.  </w:t>
      </w:r>
    </w:p>
    <w:p>
      <w:pPr>
        <w:pStyle w:val="Normal"/>
        <w:tabs>
          <w:tab w:val="clear" w:pos="720"/>
          <w:tab w:val="left" w:pos="-1440" w:leader="none"/>
        </w:tabs>
        <w:ind w:firstLine="1440" w:end="0"/>
        <w:jc w:val="both"/>
        <w:rPr/>
      </w:pPr>
      <w:r>
        <w:rPr/>
      </w:r>
    </w:p>
    <w:p>
      <w:pPr>
        <w:pStyle w:val="Normal"/>
        <w:tabs>
          <w:tab w:val="clear" w:pos="720"/>
          <w:tab w:val="left" w:pos="-1440" w:leader="none"/>
        </w:tabs>
        <w:ind w:firstLine="1440" w:end="0"/>
        <w:jc w:val="both"/>
        <w:rPr/>
      </w:pPr>
      <w:r>
        <w:rPr/>
        <w:t>Apparently this transaction will come together fairly quickly.  Due to the involvement of Enron as a co-owner of the Power Plant, and as an investor in the Fund, I would appreciate it if you would make the appropriate contacts at Enron if you believe a waiver is advisable or required.  Thank you for your assistance.</w:t>
      </w:r>
    </w:p>
    <w:p>
      <w:pPr>
        <w:pStyle w:val="Normal"/>
        <w:tabs>
          <w:tab w:val="clear" w:pos="720"/>
          <w:tab w:val="left" w:pos="-1440" w:leader="none"/>
        </w:tabs>
        <w:ind w:firstLine="1440" w:end="0"/>
        <w:jc w:val="both"/>
        <w:rPr/>
      </w:pPr>
      <w:r>
        <w:rPr/>
      </w:r>
    </w:p>
    <w:p>
      <w:pPr>
        <w:pStyle w:val="Normal"/>
        <w:tabs>
          <w:tab w:val="clear" w:pos="720"/>
          <w:tab w:val="left" w:pos="-1440" w:leader="none"/>
        </w:tabs>
        <w:ind w:firstLine="1440" w:end="0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Univers">
    <w:charset w:val="00" w:characterSet="windows-1252"/>
    <w:family w:val="swiss"/>
    <w:pitch w:val="variable"/>
  </w:font>
  <w:font w:name="EngraversGothic BT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>
      <w:rPr>
        <w:sz w:val="14"/>
      </w:rPr>
      <w:t>HN 46169.2 99980 00100 3/14/01 2:50:57 PM</w:t>
    </w:r>
    <w:r>
      <w:rPr>
        <w:sz w:val="14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>
      <w:rPr>
        <w:sz w:val="14"/>
      </w:rPr>
      <w:t>HN 46169.2 99980 00100 3/14/01 2:50:57 PM</w:t>
    </w:r>
    <w:r>
      <w:rPr>
        <w:sz w:val="14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outlineLvl w:val="0"/>
    </w:pPr>
    <w:rPr/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tabs>
        <w:tab w:val="clear" w:pos="720"/>
      </w:tabs>
      <w:ind w:hanging="360" w:start="720" w:end="0"/>
      <w:outlineLvl w:val="1"/>
    </w:pPr>
    <w:rPr/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tabs>
        <w:tab w:val="clear" w:pos="720"/>
      </w:tabs>
      <w:ind w:hanging="360" w:start="1080" w:end="0"/>
      <w:outlineLvl w:val="2"/>
    </w:pPr>
    <w:rPr/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tabs>
        <w:tab w:val="clear" w:pos="720"/>
      </w:tabs>
      <w:ind w:hanging="360" w:start="1440" w:end="0"/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clear" w:pos="720"/>
      </w:tabs>
      <w:ind w:hanging="360" w:start="1800" w:end="0"/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720"/>
      </w:tabs>
      <w:ind w:hanging="360" w:start="2160" w:end="0"/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clear" w:pos="720"/>
      </w:tabs>
      <w:ind w:hanging="360" w:start="2520" w:end="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clear" w:pos="720"/>
      </w:tabs>
      <w:ind w:hanging="360" w:start="2880" w:end="0"/>
      <w:outlineLvl w:val="7"/>
    </w:pPr>
    <w:rPr/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clear" w:pos="720"/>
      </w:tabs>
      <w:ind w:hanging="360" w:start="3240" w:end="0"/>
      <w:outlineLvl w:val="8"/>
    </w:pPr>
    <w:rPr/>
  </w:style>
  <w:style w:type="character" w:styleId="WW8Num2z0">
    <w:name w:val="WW8Num2z0"/>
    <w:qFormat/>
    <w:rPr>
      <w:color w:val="000000"/>
    </w:rPr>
  </w:style>
  <w:style w:type="character" w:styleId="DefaultParagraphFont">
    <w:name w:val="Default Paragraph Font"/>
    <w:qFormat/>
    <w:rPr/>
  </w:style>
  <w:style w:type="character" w:styleId="Hidden">
    <w:name w:val="Hidden"/>
    <w:basedOn w:val="DefaultParagraphFont"/>
    <w:qFormat/>
    <w:rPr>
      <w:vanish/>
      <w:color w:val="FF000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2001-03-14T21:27:00Z</dcterms:created>
  <dc:creator>LeBoeuf, Lamb, Greene &amp; MacRae, L.L.P.</dc:creator>
  <dc:description/>
  <cp:keywords>HN 46169.2 99980 00100 3/14/01 2:50:57 PM</cp:keywords>
  <dc:language>en-CA</dc:language>
  <cp:lastModifiedBy>LeBoeuf, Lamb, Greene &amp; MacRae, L.L.P.</cp:lastModifiedBy>
  <cp:lastPrinted>2001-03-14T14:50:00Z</cp:lastPrinted>
  <dcterms:modified xsi:type="dcterms:W3CDTF">2001-03-14T21:27:00Z</dcterms:modified>
  <cp:revision>3</cp:revision>
  <dc:subject/>
  <dc:title>LEBOEUF, LAMB, GREENE &amp; MACRAE</dc:title>
</cp:coreProperties>
</file>