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jc w:val="center"/>
        <w:rPr>
          <w:b/>
          <w:sz w:val="40"/>
        </w:rPr>
      </w:pPr>
      <w:r>
        <w:rPr>
          <w:b/>
          <w:sz w:val="40"/>
        </w:rPr>
        <w:t>MEMO</w:t>
      </w:r>
    </w:p>
    <w:p>
      <w:pPr>
        <w:pStyle w:val="Normal"/>
        <w:rPr>
          <w:rFonts w:ascii="Bookman Old Style" w:hAnsi="Bookman Old Style" w:cs="Bookman Old Style"/>
          <w:b/>
          <w:sz w:val="24"/>
        </w:rPr>
      </w:pPr>
      <w:r>
        <w:rPr>
          <w:rFonts w:cs="Bookman Old Style" w:ascii="Bookman Old Style" w:hAnsi="Bookman Old Style"/>
          <w:b/>
          <w:sz w:val="24"/>
        </w:rPr>
      </w:r>
    </w:p>
    <w:p>
      <w:pPr>
        <w:pStyle w:val="Heading1"/>
        <w:ind w:hanging="0" w:start="0"/>
        <w:rPr/>
      </w:pPr>
      <w:r>
        <w:rPr/>
        <w:t>February 26,2001</w:t>
      </w:r>
    </w:p>
    <w:p>
      <w:pPr>
        <w:pStyle w:val="Normal"/>
        <w:rPr/>
      </w:pPr>
      <w:r>
        <w:rPr/>
      </w:r>
    </w:p>
    <w:p>
      <w:pPr>
        <w:pStyle w:val="Heading1"/>
        <w:ind w:hanging="0" w:start="0"/>
        <w:rPr/>
      </w:pPr>
      <w:r>
        <w:rPr/>
        <w:t>TO:  Chris Calger</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Tim Belden</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Mark Haedicke</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Elizabeth Sager</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Richard Sanders</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 xml:space="preserve">Gary Fergus,  Brobeck </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Pat Boylston,  Stoel Rives</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t>FROM:  Christian Yoder</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t xml:space="preserve">Last Friday, after confirming payment from CDWR of some $10,000,000 for outstanding receivables covering almost all of our current business with CDWR,  we signed an EEI Agreement and Confirmation Letter with them to document a five week deal where we are selling 200 MW at $265/MWh and being paid every seven days.  It also gives us an option to extend the term of the deal for five years. </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t>The Option Clause reads:</w:t>
      </w:r>
    </w:p>
    <w:p>
      <w:pPr>
        <w:pStyle w:val="BlockText"/>
        <w:rPr>
          <w:rFonts w:ascii="Bookman Old Style" w:hAnsi="Bookman Old Style" w:cs="Bookman Old Style"/>
          <w:sz w:val="24"/>
        </w:rPr>
      </w:pPr>
      <w:r>
        <w:rPr>
          <w:rFonts w:cs="Bookman Old Style" w:ascii="Bookman Old Style" w:hAnsi="Bookman Old Style"/>
          <w:sz w:val="24"/>
        </w:rPr>
      </w:r>
    </w:p>
    <w:p>
      <w:pPr>
        <w:pStyle w:val="BlockText"/>
        <w:rPr/>
      </w:pPr>
      <w:r>
        <w:rPr/>
      </w:r>
    </w:p>
    <w:p>
      <w:pPr>
        <w:pStyle w:val="BlockText"/>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w:t>
      </w:r>
      <w:r>
        <w:rPr>
          <w:rFonts w:cs="Bookman Old Style" w:ascii="Bookman Old Style" w:hAnsi="Bookman Old Style"/>
          <w:sz w:val="24"/>
        </w:rPr>
        <w:t xml:space="preserve">EPMI shall have an exclusive, unilateral right, but not the obligation (“Option”), to extend the term of  the Part 1 Transaction  to an end date of March 30, 2006 at a price of $127/MWh, exercisable in writing any time before 5:00 p.m. on March 28, 2001.  This Option is entirely at EPMI’s discretion, such discretion to be without any limit whatsoever.  For clarity, this expressly means that EPMI may elect to not exercise its right to enter into the extended term for any reason whatsoever, including but not limited to credit related reasons, or for no reason.  If EPMI elects to exercise its Option, then EPMI shall credit CDWR in an amount equal to the difference between the Part 1 Price and the Part 2 Price ($138) times the number of megawatts delivered pursuant to Part 1.” </w:t>
      </w:r>
    </w:p>
    <w:p>
      <w:pPr>
        <w:pStyle w:val="Normal"/>
        <w:rPr>
          <w:rFonts w:ascii="Bookman Old Style" w:hAnsi="Bookman Old Style" w:eastAsia="Bookman Old Style" w:cs="Bookman Old Style"/>
          <w:sz w:val="24"/>
        </w:rPr>
      </w:pPr>
      <w:r>
        <w:rPr>
          <w:rFonts w:eastAsia="Bookman Old Style" w:cs="Bookman Old Style" w:ascii="Bookman Old Style" w:hAnsi="Bookman Old Style"/>
          <w:sz w:val="24"/>
        </w:rPr>
        <w:t xml:space="preserve"> </w:t>
      </w:r>
    </w:p>
    <w:p>
      <w:pPr>
        <w:pStyle w:val="Normal"/>
        <w:rPr>
          <w:rFonts w:ascii="Bookman Old Style" w:hAnsi="Bookman Old Style" w:cs="Bookman Old Style"/>
          <w:sz w:val="24"/>
        </w:rPr>
      </w:pPr>
      <w:r>
        <w:rPr>
          <w:rFonts w:cs="Bookman Old Style" w:ascii="Bookman Old Style" w:hAnsi="Bookman Old Style"/>
          <w:sz w:val="24"/>
        </w:rPr>
        <w:t xml:space="preserve">Whether or not we may elect to exercise the above option depends upon how comfortable we are with the EEI Agreement.  Here are some of its crucial features: </w:t>
      </w:r>
    </w:p>
    <w:p>
      <w:pPr>
        <w:pStyle w:val="Normal"/>
        <w:rPr>
          <w:rFonts w:ascii="Bookman Old Style" w:hAnsi="Bookman Old Style" w:cs="Bookman Old Style"/>
          <w:sz w:val="24"/>
        </w:rPr>
      </w:pPr>
      <w:r>
        <w:rPr>
          <w:rFonts w:cs="Bookman Old Style" w:ascii="Bookman Old Style" w:hAnsi="Bookman Old Style"/>
          <w:sz w:val="24"/>
        </w:rPr>
      </w:r>
    </w:p>
    <w:p>
      <w:pPr>
        <w:pStyle w:val="Normal"/>
        <w:numPr>
          <w:ilvl w:val="0"/>
          <w:numId w:val="7"/>
        </w:numPr>
        <w:rPr>
          <w:rFonts w:ascii="Bookman Old Style" w:hAnsi="Bookman Old Style" w:cs="Bookman Old Style"/>
          <w:sz w:val="24"/>
        </w:rPr>
      </w:pPr>
      <w:r>
        <w:rPr>
          <w:rFonts w:cs="Bookman Old Style" w:ascii="Bookman Old Style" w:hAnsi="Bookman Old Style"/>
          <w:sz w:val="24"/>
        </w:rPr>
        <w:t>no MAC clause</w:t>
      </w:r>
    </w:p>
    <w:p>
      <w:pPr>
        <w:pStyle w:val="Normal"/>
        <w:numPr>
          <w:ilvl w:val="0"/>
          <w:numId w:val="6"/>
        </w:numPr>
        <w:rPr>
          <w:rFonts w:ascii="Bookman Old Style" w:hAnsi="Bookman Old Style" w:cs="Bookman Old Style"/>
          <w:sz w:val="24"/>
        </w:rPr>
      </w:pPr>
      <w:r>
        <w:rPr>
          <w:rFonts w:cs="Bookman Old Style" w:ascii="Bookman Old Style" w:hAnsi="Bookman Old Style"/>
          <w:sz w:val="24"/>
        </w:rPr>
        <w:t xml:space="preserve">no credit downgrade </w:t>
      </w:r>
    </w:p>
    <w:p>
      <w:pPr>
        <w:pStyle w:val="Normal"/>
        <w:numPr>
          <w:ilvl w:val="0"/>
          <w:numId w:val="6"/>
        </w:numPr>
        <w:rPr>
          <w:rFonts w:ascii="Bookman Old Style" w:hAnsi="Bookman Old Style" w:cs="Bookman Old Style"/>
          <w:sz w:val="24"/>
        </w:rPr>
      </w:pPr>
      <w:r>
        <w:rPr>
          <w:rFonts w:cs="Bookman Old Style" w:ascii="Bookman Old Style" w:hAnsi="Bookman Old Style"/>
          <w:sz w:val="24"/>
        </w:rPr>
        <w:t>no cross default term</w:t>
      </w:r>
    </w:p>
    <w:p>
      <w:pPr>
        <w:pStyle w:val="Normal"/>
        <w:rPr>
          <w:rFonts w:ascii="Bookman Old Style" w:hAnsi="Bookman Old Style" w:cs="Bookman Old Style"/>
          <w:sz w:val="24"/>
        </w:rPr>
      </w:pPr>
      <w:r>
        <w:rPr>
          <w:rFonts w:cs="Bookman Old Style" w:ascii="Bookman Old Style" w:hAnsi="Bookman Old Style"/>
          <w:sz w:val="24"/>
        </w:rPr>
        <w:t>2. no collateral threshold-margin clause</w:t>
      </w:r>
    </w:p>
    <w:p>
      <w:pPr>
        <w:pStyle w:val="Normal"/>
        <w:rPr>
          <w:rFonts w:ascii="Bookman Old Style" w:hAnsi="Bookman Old Style" w:eastAsia="Bookman Old Style" w:cs="Bookman Old Style"/>
          <w:sz w:val="24"/>
        </w:rPr>
      </w:pPr>
      <w:r>
        <w:rPr>
          <w:rFonts w:eastAsia="Bookman Old Style" w:cs="Bookman Old Style" w:ascii="Bookman Old Style" w:hAnsi="Bookman Old Style"/>
          <w:sz w:val="24"/>
        </w:rPr>
        <w:t xml:space="preserve"> </w:t>
      </w:r>
    </w:p>
    <w:p>
      <w:pPr>
        <w:pStyle w:val="Normal"/>
        <w:numPr>
          <w:ilvl w:val="0"/>
          <w:numId w:val="7"/>
        </w:numPr>
        <w:rPr>
          <w:rFonts w:ascii="Bookman Old Style" w:hAnsi="Bookman Old Style" w:cs="Bookman Old Style"/>
          <w:sz w:val="24"/>
        </w:rPr>
      </w:pPr>
      <w:r>
        <w:rPr>
          <w:rFonts w:cs="Bookman Old Style" w:ascii="Bookman Old Style" w:hAnsi="Bookman Old Style"/>
          <w:sz w:val="24"/>
        </w:rPr>
        <w:t xml:space="preserve">no setoff or netting.  </w:t>
      </w:r>
    </w:p>
    <w:p>
      <w:pPr>
        <w:pStyle w:val="Normal"/>
        <w:ind w:start="360" w:end="0"/>
        <w:rPr>
          <w:rFonts w:ascii="Bookman Old Style" w:hAnsi="Bookman Old Style" w:cs="Bookman Old Style"/>
          <w:sz w:val="24"/>
        </w:rPr>
      </w:pPr>
      <w:r>
        <w:rPr>
          <w:rFonts w:cs="Bookman Old Style" w:ascii="Bookman Old Style" w:hAnsi="Bookman Old Style"/>
          <w:sz w:val="24"/>
        </w:rPr>
        <w:t>The agreement is changed to make our deal a one-off deal.  No multiple transactions possible under the Agreement.</w:t>
      </w:r>
    </w:p>
    <w:p>
      <w:pPr>
        <w:pStyle w:val="Normal"/>
        <w:rPr>
          <w:rFonts w:ascii="Bookman Old Style" w:hAnsi="Bookman Old Style" w:cs="Bookman Old Style"/>
          <w:sz w:val="24"/>
        </w:rPr>
      </w:pPr>
      <w:r>
        <w:rPr>
          <w:rFonts w:cs="Bookman Old Style" w:ascii="Bookman Old Style" w:hAnsi="Bookman Old Style"/>
          <w:sz w:val="24"/>
        </w:rPr>
      </w:r>
    </w:p>
    <w:p>
      <w:pPr>
        <w:pStyle w:val="Normal"/>
        <w:numPr>
          <w:ilvl w:val="0"/>
          <w:numId w:val="7"/>
        </w:numPr>
        <w:rPr>
          <w:rFonts w:ascii="Bookman Old Style" w:hAnsi="Bookman Old Style" w:cs="Bookman Old Style"/>
          <w:sz w:val="24"/>
        </w:rPr>
      </w:pPr>
      <w:r>
        <w:rPr>
          <w:rFonts w:cs="Bookman Old Style" w:ascii="Bookman Old Style" w:hAnsi="Bookman Old Style"/>
          <w:sz w:val="24"/>
        </w:rPr>
        <w:t>Termination Payment modified</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one Way (not two way) termination payment</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payment due 180 days after invoicing</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automatic termination if insolvency or bankruptcy (no notice)</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 xml:space="preserve">calculation of termination payment changed from normal present  </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 xml:space="preserve">value of economic loss/gains/costs to present value of difference </w:t>
      </w:r>
    </w:p>
    <w:p>
      <w:pPr>
        <w:pStyle w:val="Normal"/>
        <w:rPr>
          <w:rFonts w:ascii="Bookman Old Style" w:hAnsi="Bookman Old Style" w:cs="Bookman Old Style"/>
          <w:sz w:val="24"/>
        </w:rPr>
      </w:pPr>
      <w:r>
        <w:rPr>
          <w:rFonts w:eastAsia="Bookman Old Style" w:cs="Bookman Old Style" w:ascii="Bookman Old Style" w:hAnsi="Bookman Old Style"/>
          <w:sz w:val="24"/>
        </w:rPr>
        <w:t xml:space="preserve">    </w:t>
      </w:r>
      <w:r>
        <w:rPr>
          <w:rFonts w:cs="Bookman Old Style" w:ascii="Bookman Old Style" w:hAnsi="Bookman Old Style"/>
          <w:sz w:val="24"/>
        </w:rPr>
        <w:t xml:space="preserve">payment s under a replacement contract.           </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t>5. Payment covenants tied into the ABX1 Statute and CPUC orders</w:t>
      </w:r>
    </w:p>
    <w:p>
      <w:pPr>
        <w:pStyle w:val="Normal"/>
        <w:rPr>
          <w:rFonts w:ascii="Bookman Old Style" w:hAnsi="Bookman Old Style" w:cs="Bookman Old Style"/>
          <w:sz w:val="24"/>
        </w:rPr>
      </w:pPr>
      <w:r>
        <w:rPr>
          <w:rFonts w:cs="Bookman Old Style" w:ascii="Bookman Old Style" w:hAnsi="Bookman Old Style"/>
          <w:sz w:val="24"/>
        </w:rPr>
      </w:r>
    </w:p>
    <w:p>
      <w:pPr>
        <w:pStyle w:val="Normal"/>
        <w:numPr>
          <w:ilvl w:val="0"/>
          <w:numId w:val="5"/>
        </w:numPr>
        <w:tabs>
          <w:tab w:val="clear" w:pos="720"/>
          <w:tab w:val="left" w:pos="795" w:leader="none"/>
        </w:tabs>
        <w:ind w:hanging="360" w:start="795" w:end="0"/>
        <w:rPr>
          <w:rFonts w:ascii="Bookman Old Style" w:hAnsi="Bookman Old Style" w:cs="Bookman Old Style"/>
          <w:sz w:val="24"/>
        </w:rPr>
      </w:pPr>
      <w:r>
        <w:rPr>
          <w:rFonts w:cs="Bookman Old Style" w:ascii="Bookman Old Style" w:hAnsi="Bookman Old Style"/>
          <w:sz w:val="24"/>
        </w:rPr>
        <w:t>No Immunity Claim.    CDWR waives any right it may have as a               state agency to assert any immunity against lawsuits filed in state courts.</w:t>
      </w:r>
    </w:p>
    <w:p>
      <w:pPr>
        <w:pStyle w:val="Normal"/>
        <w:rPr>
          <w:rFonts w:ascii="Bookman Old Style" w:hAnsi="Bookman Old Style" w:cs="Bookman Old Style"/>
          <w:sz w:val="24"/>
        </w:rPr>
      </w:pPr>
      <w:r>
        <w:rPr>
          <w:rFonts w:cs="Bookman Old Style" w:ascii="Bookman Old Style" w:hAnsi="Bookman Old Style"/>
          <w:sz w:val="24"/>
        </w:rPr>
      </w:r>
    </w:p>
    <w:p>
      <w:pPr>
        <w:pStyle w:val="Normal"/>
        <w:numPr>
          <w:ilvl w:val="0"/>
          <w:numId w:val="3"/>
        </w:numPr>
        <w:tabs>
          <w:tab w:val="left" w:pos="720" w:leader="none"/>
        </w:tabs>
        <w:ind w:hanging="360" w:start="720" w:end="0"/>
        <w:rPr>
          <w:rFonts w:ascii="Bookman Old Style" w:hAnsi="Bookman Old Style" w:cs="Bookman Old Style"/>
          <w:sz w:val="24"/>
        </w:rPr>
      </w:pPr>
      <w:r>
        <w:rPr>
          <w:rFonts w:cs="Bookman Old Style" w:ascii="Bookman Old Style" w:hAnsi="Bookman Old Style"/>
          <w:sz w:val="24"/>
        </w:rPr>
        <w:t xml:space="preserve">Payments Under Agreement an Operating Expense.   Operating expenses are payable before all bond, notes or other indebtedness . </w:t>
      </w:r>
    </w:p>
    <w:p>
      <w:pPr>
        <w:pStyle w:val="Normal"/>
        <w:ind w:start="360" w:end="0"/>
        <w:rPr>
          <w:rFonts w:ascii="Bookman Old Style" w:hAnsi="Bookman Old Style" w:cs="Bookman Old Style"/>
          <w:sz w:val="24"/>
        </w:rPr>
      </w:pPr>
      <w:r>
        <w:rPr>
          <w:rFonts w:cs="Bookman Old Style" w:ascii="Bookman Old Style" w:hAnsi="Bookman Old Style"/>
          <w:sz w:val="24"/>
        </w:rPr>
      </w:r>
    </w:p>
    <w:p>
      <w:pPr>
        <w:pStyle w:val="Normal"/>
        <w:numPr>
          <w:ilvl w:val="0"/>
          <w:numId w:val="9"/>
        </w:numPr>
        <w:tabs>
          <w:tab w:val="clear" w:pos="720"/>
          <w:tab w:val="left" w:pos="795" w:leader="none"/>
        </w:tabs>
        <w:ind w:hanging="360" w:start="795" w:end="0"/>
        <w:rPr>
          <w:rFonts w:ascii="Bookman Old Style" w:hAnsi="Bookman Old Style" w:cs="Bookman Old Style"/>
          <w:sz w:val="24"/>
        </w:rPr>
      </w:pPr>
      <w:r>
        <w:rPr>
          <w:rFonts w:cs="Bookman Old Style" w:ascii="Bookman Old Style" w:hAnsi="Bookman Old Style"/>
          <w:sz w:val="24"/>
        </w:rPr>
        <w:t>Rate Covenant.  No Impairment.  CDWR will establish and revise revenue requirements sufficient to provide for timely payments. As long as obligations exist under the Agreement, the rights powers, duties and existence of CDWR and CPUC shall not be diminished or impaired in any manner that will affect adversely the interests and rights of seller.</w:t>
      </w:r>
    </w:p>
    <w:p>
      <w:pPr>
        <w:pStyle w:val="Normal"/>
        <w:rPr>
          <w:rFonts w:ascii="Bookman Old Style" w:hAnsi="Bookman Old Style" w:cs="Bookman Old Style"/>
          <w:sz w:val="24"/>
        </w:rPr>
      </w:pPr>
      <w:r>
        <w:rPr>
          <w:rFonts w:cs="Bookman Old Style" w:ascii="Bookman Old Style" w:hAnsi="Bookman Old Style"/>
          <w:sz w:val="24"/>
        </w:rPr>
      </w:r>
    </w:p>
    <w:p>
      <w:pPr>
        <w:pStyle w:val="Normal"/>
        <w:numPr>
          <w:ilvl w:val="0"/>
          <w:numId w:val="4"/>
        </w:numPr>
        <w:tabs>
          <w:tab w:val="left" w:pos="720" w:leader="none"/>
        </w:tabs>
        <w:ind w:hanging="360" w:start="720" w:end="0"/>
        <w:rPr>
          <w:rFonts w:ascii="Bookman Old Style" w:hAnsi="Bookman Old Style" w:cs="Bookman Old Style"/>
          <w:sz w:val="24"/>
        </w:rPr>
      </w:pPr>
      <w:r>
        <w:rPr>
          <w:rFonts w:cs="Bookman Old Style" w:ascii="Bookman Old Style" w:hAnsi="Bookman Old Style"/>
          <w:sz w:val="24"/>
        </w:rPr>
        <w:t>No More Favorable Terms.  If CDWR offers any party collateral or other credit support or payment priority,  they have to offer it to us too.</w:t>
      </w:r>
    </w:p>
    <w:p>
      <w:pPr>
        <w:pStyle w:val="Normal"/>
        <w:rPr>
          <w:rFonts w:ascii="Bookman Old Style" w:hAnsi="Bookman Old Style" w:cs="Bookman Old Style"/>
          <w:sz w:val="24"/>
        </w:rPr>
      </w:pPr>
      <w:r>
        <w:rPr>
          <w:rFonts w:cs="Bookman Old Style" w:ascii="Bookman Old Style" w:hAnsi="Bookman Old Style"/>
          <w:sz w:val="24"/>
        </w:rPr>
      </w:r>
    </w:p>
    <w:p>
      <w:pPr>
        <w:pStyle w:val="Normal"/>
        <w:numPr>
          <w:ilvl w:val="0"/>
          <w:numId w:val="8"/>
        </w:numPr>
        <w:tabs>
          <w:tab w:val="left" w:pos="720" w:leader="none"/>
        </w:tabs>
        <w:ind w:hanging="360" w:start="720" w:end="0"/>
        <w:rPr>
          <w:rFonts w:ascii="Bookman Old Style" w:hAnsi="Bookman Old Style" w:cs="Bookman Old Style"/>
          <w:sz w:val="24"/>
        </w:rPr>
      </w:pPr>
      <w:r>
        <w:rPr>
          <w:rFonts w:cs="Bookman Old Style" w:ascii="Bookman Old Style" w:hAnsi="Bookman Old Style"/>
          <w:sz w:val="24"/>
        </w:rPr>
        <w:t xml:space="preserve">Sources of Payment:  No Debt of State.  CDWR’s obligation to pay is limited soley to the Fund, and does not engage the full faith and credit or taxing power of California.   </w:t>
      </w:r>
    </w:p>
    <w:p>
      <w:pPr>
        <w:pStyle w:val="Normal"/>
        <w:rPr>
          <w:rFonts w:ascii="Bookman Old Style" w:hAnsi="Bookman Old Style" w:cs="Bookman Old Style"/>
          <w:sz w:val="24"/>
        </w:rPr>
      </w:pPr>
      <w:r>
        <w:rPr>
          <w:rFonts w:cs="Bookman Old Style" w:ascii="Bookman Old Style" w:hAnsi="Bookman Old Style"/>
          <w:sz w:val="24"/>
        </w:rPr>
      </w:r>
    </w:p>
    <w:p>
      <w:pPr>
        <w:pStyle w:val="Normal"/>
        <w:rPr/>
      </w:pPr>
      <w:r>
        <w:rPr>
          <w:rFonts w:cs="Bookman Old Style" w:ascii="Bookman Old Style" w:hAnsi="Bookman Old Style"/>
          <w:b/>
          <w:sz w:val="24"/>
        </w:rPr>
        <w:t>ISSUE:</w:t>
      </w:r>
      <w:r>
        <w:rPr>
          <w:rFonts w:cs="Bookman Old Style" w:ascii="Bookman Old Style" w:hAnsi="Bookman Old Style"/>
          <w:sz w:val="24"/>
        </w:rPr>
        <w:t xml:space="preserve"> The question we must ask ourselves is:  In the absence of any of our standard credit risk mitigation features, do the payment covenants give us enough legal comfort to do a five year fixed price deal with CDWR?   </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b/>
          <w:sz w:val="24"/>
        </w:rPr>
      </w:pPr>
      <w:r>
        <w:rPr>
          <w:rFonts w:cs="Bookman Old Style" w:ascii="Bookman Old Style" w:hAnsi="Bookman Old Style"/>
          <w:b/>
          <w:sz w:val="24"/>
        </w:rPr>
      </w:r>
    </w:p>
    <w:p>
      <w:pPr>
        <w:pStyle w:val="Normal"/>
        <w:rPr>
          <w:rFonts w:ascii="Bookman Old Style" w:hAnsi="Bookman Old Style" w:cs="Bookman Old Style"/>
          <w:b/>
          <w:sz w:val="24"/>
        </w:rPr>
      </w:pPr>
      <w:r>
        <w:rPr>
          <w:rFonts w:cs="Bookman Old Style" w:ascii="Bookman Old Style" w:hAnsi="Bookman Old Style"/>
          <w:b/>
          <w:sz w:val="24"/>
        </w:rPr>
      </w:r>
    </w:p>
    <w:p>
      <w:pPr>
        <w:pStyle w:val="Normal"/>
        <w:rPr>
          <w:rFonts w:ascii="Bookman Old Style" w:hAnsi="Bookman Old Style" w:cs="Bookman Old Style"/>
          <w:b/>
          <w:sz w:val="24"/>
        </w:rPr>
      </w:pPr>
      <w:r>
        <w:rPr>
          <w:rFonts w:cs="Bookman Old Style" w:ascii="Bookman Old Style" w:hAnsi="Bookman Old Style"/>
          <w:b/>
          <w:sz w:val="24"/>
        </w:rPr>
      </w:r>
    </w:p>
    <w:p>
      <w:pPr>
        <w:pStyle w:val="Normal"/>
        <w:rPr>
          <w:rFonts w:ascii="Bookman Old Style" w:hAnsi="Bookman Old Style" w:cs="Bookman Old Style"/>
          <w:b/>
          <w:sz w:val="24"/>
        </w:rPr>
      </w:pPr>
      <w:r>
        <w:rPr>
          <w:rFonts w:cs="Bookman Old Style" w:ascii="Bookman Old Style" w:hAnsi="Bookman Old Style"/>
          <w:b/>
          <w:sz w:val="24"/>
        </w:rPr>
        <w:t xml:space="preserve">DISCUSSION:  </w:t>
      </w:r>
    </w:p>
    <w:p>
      <w:pPr>
        <w:pStyle w:val="Normal"/>
        <w:numPr>
          <w:ilvl w:val="0"/>
          <w:numId w:val="2"/>
        </w:numPr>
        <w:rPr>
          <w:rFonts w:ascii="Bookman Old Style" w:hAnsi="Bookman Old Style" w:cs="Bookman Old Style"/>
          <w:sz w:val="24"/>
        </w:rPr>
      </w:pPr>
      <w:r>
        <w:rPr>
          <w:rFonts w:cs="Bookman Old Style" w:ascii="Bookman Old Style" w:hAnsi="Bookman Old Style"/>
          <w:sz w:val="24"/>
        </w:rPr>
        <w:t xml:space="preserve">The Rate Covenant, especially because of recent CPUC interim orders,  does not guarantee that CDWR will always be able to pay all of its wholesale costs.  As long as the rate freeze is in effect there is no guarantee that CDWR can pay for the power it purchases from wholesale sellers.  </w:t>
      </w:r>
    </w:p>
    <w:p>
      <w:pPr>
        <w:pStyle w:val="Normal"/>
        <w:numPr>
          <w:ilvl w:val="0"/>
          <w:numId w:val="2"/>
        </w:numPr>
        <w:rPr>
          <w:rFonts w:ascii="Bookman Old Style" w:hAnsi="Bookman Old Style" w:cs="Bookman Old Style"/>
          <w:sz w:val="24"/>
        </w:rPr>
      </w:pPr>
      <w:r>
        <w:rPr>
          <w:rFonts w:cs="Bookman Old Style" w:ascii="Bookman Old Style" w:hAnsi="Bookman Old Style"/>
          <w:sz w:val="24"/>
        </w:rPr>
        <w:t xml:space="preserve">The  fact that the Agreement is a one-off agreement with no possibility of  multiple transactions and offsetting poses problems for expanding our business with CDWR.  Multiple agreements for multiple deals without netting and setoff create credit exposure risks that we typically will not take. </w:t>
      </w:r>
    </w:p>
    <w:p>
      <w:pPr>
        <w:pStyle w:val="Normal"/>
        <w:numPr>
          <w:ilvl w:val="0"/>
          <w:numId w:val="2"/>
        </w:numPr>
        <w:rPr>
          <w:rFonts w:ascii="Bookman Old Style" w:hAnsi="Bookman Old Style" w:cs="Bookman Old Style"/>
          <w:sz w:val="24"/>
        </w:rPr>
      </w:pPr>
      <w:r>
        <w:rPr>
          <w:rFonts w:cs="Bookman Old Style" w:ascii="Bookman Old Style" w:hAnsi="Bookman Old Style"/>
          <w:sz w:val="24"/>
        </w:rPr>
        <w:t xml:space="preserve">The changes being proposed to the Termination payment calculation methodology probably, if CDWR were to default, make recovery of our full mark to market value impossible. </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b/>
          <w:sz w:val="24"/>
        </w:rPr>
      </w:pPr>
      <w:r>
        <w:rPr>
          <w:rFonts w:cs="Bookman Old Style" w:ascii="Bookman Old Style" w:hAnsi="Bookman Old Style"/>
          <w:b/>
          <w:sz w:val="24"/>
        </w:rPr>
        <w:t xml:space="preserve">SUMMARY:   </w:t>
      </w:r>
    </w:p>
    <w:p>
      <w:pPr>
        <w:pStyle w:val="Normal"/>
        <w:rPr>
          <w:rFonts w:ascii="Bookman Old Style" w:hAnsi="Bookman Old Style" w:cs="Bookman Old Style"/>
          <w:sz w:val="24"/>
        </w:rPr>
      </w:pPr>
      <w:r>
        <w:rPr>
          <w:rFonts w:cs="Bookman Old Style" w:ascii="Bookman Old Style" w:hAnsi="Bookman Old Style"/>
          <w:sz w:val="24"/>
        </w:rPr>
        <w:t xml:space="preserve">If we see ourselves as limiting EPMI forever to a single transaction with CDWR and believe that the political process presently fermenting in California will strengthen and eventually even guarantee that CDWR will be able to make payments to its wholesale customers,  then, we might consider exercising our option under the EEI as presently drafted.  However, if we ever imagine EPMI doing other deals with CDWR and have any kind of realistic expectation that the political process will not shore up CDWR’s ability to pay,  the obviously prudent position is to not exercise the option unless and until changes are negotiated to the agreement.  </w:t>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r>
    </w:p>
    <w:p>
      <w:pPr>
        <w:pStyle w:val="Normal"/>
        <w:rPr>
          <w:rFonts w:ascii="Bookman Old Style" w:hAnsi="Bookman Old Style" w:cs="Bookman Old Style"/>
          <w:sz w:val="24"/>
        </w:rPr>
      </w:pPr>
      <w:r>
        <w:rPr>
          <w:rFonts w:cs="Bookman Old Style" w:ascii="Bookman Old Style" w:hAnsi="Bookman Old Style"/>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lowerLetter"/>
      <w:lvlText w:val="%1."/>
      <w:lvlJc w:val="start"/>
      <w:pPr>
        <w:tabs>
          <w:tab w:val="num" w:pos="720"/>
        </w:tabs>
        <w:ind w:start="72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1530" w:leader="none"/>
        <w:tab w:val="left" w:pos="2160" w:leader="none"/>
        <w:tab w:val="left" w:pos="5040" w:leader="none"/>
        <w:tab w:val="left" w:pos="5760" w:leader="none"/>
        <w:tab w:val="left" w:pos="6480" w:leader="none"/>
      </w:tabs>
      <w:ind w:hanging="1530" w:start="1530" w:end="-345"/>
      <w:jc w:val="both"/>
    </w:pPr>
    <w:rPr>
      <w:rFonts w:ascii="Arial" w:hAnsi="Arial" w:cs="Arial"/>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2001-02-26T18:07:00Z</dcterms:created>
  <dc:creator>cyoder</dc:creator>
  <dc:description/>
  <dc:language>en-CA</dc:language>
  <cp:lastModifiedBy>cyoder</cp:lastModifiedBy>
  <dcterms:modified xsi:type="dcterms:W3CDTF">2001-02-26T21:48:00Z</dcterms:modified>
  <cp:revision>4</cp:revision>
  <dc:subject/>
  <dc:title>February 26,2001</dc:title>
</cp:coreProperties>
</file>