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Multi-Trigger Options – 2002 Strategy Brief</w:t>
      </w:r>
    </w:p>
    <w:p>
      <w:pPr>
        <w:pStyle w:val="Normal"/>
        <w:jc w:val="center"/>
        <w:rPr>
          <w:b/>
        </w:rPr>
      </w:pPr>
      <w:r>
        <w:rPr>
          <w:b/>
        </w:rPr>
      </w:r>
    </w:p>
    <w:p>
      <w:pPr>
        <w:pStyle w:val="Normal"/>
        <w:jc w:val="both"/>
        <w:rPr>
          <w:b/>
          <w:sz w:val="20"/>
        </w:rPr>
      </w:pPr>
      <w:r>
        <w:rPr>
          <w:b/>
          <w:sz w:val="20"/>
        </w:rPr>
      </w:r>
    </w:p>
    <w:p>
      <w:pPr>
        <w:pStyle w:val="Heading1"/>
        <w:ind w:hanging="0" w:start="0"/>
        <w:rPr/>
      </w:pPr>
      <w:r>
        <w:rPr/>
        <w:t>2001 Results</w:t>
      </w:r>
    </w:p>
    <w:p>
      <w:pPr>
        <w:pStyle w:val="Normal"/>
        <w:jc w:val="both"/>
        <w:rPr>
          <w:sz w:val="20"/>
        </w:rPr>
      </w:pPr>
      <w:r>
        <w:rPr>
          <w:sz w:val="20"/>
        </w:rPr>
      </w:r>
    </w:p>
    <w:p>
      <w:pPr>
        <w:pStyle w:val="Normal"/>
        <w:jc w:val="both"/>
        <w:rPr>
          <w:sz w:val="20"/>
        </w:rPr>
      </w:pPr>
      <w:r>
        <w:rPr>
          <w:sz w:val="20"/>
        </w:rPr>
        <w:t>EGM Value</w:t>
      </w:r>
    </w:p>
    <w:p>
      <w:pPr>
        <w:pStyle w:val="Normal"/>
        <w:numPr>
          <w:ilvl w:val="0"/>
          <w:numId w:val="4"/>
        </w:numPr>
        <w:jc w:val="both"/>
        <w:rPr>
          <w:sz w:val="20"/>
        </w:rPr>
      </w:pPr>
      <w:r>
        <w:rPr>
          <w:sz w:val="20"/>
        </w:rPr>
        <w:t>Created new market for Enron with profitable first year</w:t>
      </w:r>
    </w:p>
    <w:p>
      <w:pPr>
        <w:pStyle w:val="Normal"/>
        <w:numPr>
          <w:ilvl w:val="0"/>
          <w:numId w:val="4"/>
        </w:numPr>
        <w:jc w:val="both"/>
        <w:rPr>
          <w:sz w:val="20"/>
        </w:rPr>
      </w:pPr>
      <w:r>
        <w:rPr>
          <w:sz w:val="20"/>
        </w:rPr>
        <w:t>Relatively small staff (5), expense</w:t>
      </w:r>
    </w:p>
    <w:p>
      <w:pPr>
        <w:pStyle w:val="Normal"/>
        <w:numPr>
          <w:ilvl w:val="0"/>
          <w:numId w:val="4"/>
        </w:numPr>
        <w:jc w:val="both"/>
        <w:rPr>
          <w:sz w:val="20"/>
        </w:rPr>
      </w:pPr>
      <w:r>
        <w:rPr>
          <w:sz w:val="20"/>
        </w:rPr>
        <w:t>Positive net cash flow</w:t>
      </w:r>
    </w:p>
    <w:p>
      <w:pPr>
        <w:pStyle w:val="Normal"/>
        <w:numPr>
          <w:ilvl w:val="0"/>
          <w:numId w:val="4"/>
        </w:numPr>
        <w:jc w:val="both"/>
        <w:rPr>
          <w:sz w:val="20"/>
        </w:rPr>
      </w:pPr>
      <w:r>
        <w:rPr>
          <w:sz w:val="20"/>
        </w:rPr>
        <w:t>$11 million premium revenue</w:t>
      </w:r>
    </w:p>
    <w:p>
      <w:pPr>
        <w:pStyle w:val="Normal"/>
        <w:numPr>
          <w:ilvl w:val="0"/>
          <w:numId w:val="4"/>
        </w:numPr>
        <w:jc w:val="both"/>
        <w:rPr>
          <w:sz w:val="20"/>
        </w:rPr>
      </w:pPr>
      <w:r>
        <w:rPr>
          <w:sz w:val="20"/>
        </w:rPr>
        <w:t>$4 million profit, prior to internal origination</w:t>
      </w:r>
    </w:p>
    <w:p>
      <w:pPr>
        <w:pStyle w:val="Normal"/>
        <w:jc w:val="both"/>
        <w:rPr>
          <w:sz w:val="20"/>
        </w:rPr>
      </w:pPr>
      <w:r>
        <w:rPr>
          <w:sz w:val="20"/>
        </w:rPr>
        <w:t>ENA Value</w:t>
      </w:r>
    </w:p>
    <w:p>
      <w:pPr>
        <w:pStyle w:val="Normal"/>
        <w:numPr>
          <w:ilvl w:val="0"/>
          <w:numId w:val="4"/>
        </w:numPr>
        <w:jc w:val="both"/>
        <w:rPr>
          <w:sz w:val="20"/>
        </w:rPr>
      </w:pPr>
      <w:r>
        <w:rPr>
          <w:sz w:val="20"/>
        </w:rPr>
        <w:t>Paid $800k to internal origination</w:t>
      </w:r>
    </w:p>
    <w:p>
      <w:pPr>
        <w:pStyle w:val="Normal"/>
        <w:numPr>
          <w:ilvl w:val="0"/>
          <w:numId w:val="4"/>
        </w:numPr>
        <w:jc w:val="both"/>
        <w:rPr>
          <w:sz w:val="20"/>
        </w:rPr>
      </w:pPr>
      <w:r>
        <w:rPr>
          <w:sz w:val="20"/>
        </w:rPr>
        <w:t>Provided East Power with $5 million of trading volume @ very large spread (~$2m to desk)</w:t>
      </w:r>
    </w:p>
    <w:p>
      <w:pPr>
        <w:pStyle w:val="Normal"/>
        <w:numPr>
          <w:ilvl w:val="0"/>
          <w:numId w:val="4"/>
        </w:numPr>
        <w:jc w:val="both"/>
        <w:rPr>
          <w:sz w:val="20"/>
        </w:rPr>
      </w:pPr>
      <w:r>
        <w:rPr>
          <w:sz w:val="20"/>
        </w:rPr>
        <w:t>Provided West Power with $1.5 million of trading volume with relatively small margin</w:t>
      </w:r>
    </w:p>
    <w:p>
      <w:pPr>
        <w:pStyle w:val="Normal"/>
        <w:numPr>
          <w:ilvl w:val="0"/>
          <w:numId w:val="4"/>
        </w:numPr>
        <w:jc w:val="both"/>
        <w:rPr>
          <w:sz w:val="20"/>
        </w:rPr>
      </w:pPr>
      <w:r>
        <w:rPr>
          <w:sz w:val="20"/>
        </w:rPr>
        <w:t>Helped East Power hedge generation – unknown value (~ $1–2m estimated value to desk)</w:t>
      </w:r>
    </w:p>
    <w:p>
      <w:pPr>
        <w:pStyle w:val="Normal"/>
        <w:numPr>
          <w:ilvl w:val="0"/>
          <w:numId w:val="4"/>
        </w:numPr>
        <w:jc w:val="both"/>
        <w:rPr>
          <w:sz w:val="20"/>
        </w:rPr>
      </w:pPr>
      <w:r>
        <w:rPr>
          <w:sz w:val="20"/>
        </w:rPr>
        <w:t>Structured and closed two arbitrage deals for West Power (estimated value to desk $1-2 million)</w:t>
      </w:r>
    </w:p>
    <w:p>
      <w:pPr>
        <w:pStyle w:val="Normal"/>
        <w:jc w:val="both"/>
        <w:rPr>
          <w:sz w:val="20"/>
        </w:rPr>
      </w:pPr>
      <w:r>
        <w:rPr>
          <w:sz w:val="20"/>
        </w:rPr>
      </w:r>
    </w:p>
    <w:p>
      <w:pPr>
        <w:pStyle w:val="Normal"/>
        <w:jc w:val="both"/>
        <w:rPr>
          <w:sz w:val="20"/>
        </w:rPr>
      </w:pPr>
      <w:r>
        <w:rPr>
          <w:sz w:val="20"/>
        </w:rPr>
      </w:r>
    </w:p>
    <w:p>
      <w:pPr>
        <w:pStyle w:val="Heading1"/>
        <w:ind w:hanging="0" w:start="0"/>
        <w:rPr/>
      </w:pPr>
      <w:r>
        <w:rPr/>
        <w:t>Market Conditions for 2002</w:t>
      </w:r>
    </w:p>
    <w:p>
      <w:pPr>
        <w:pStyle w:val="Normal"/>
        <w:jc w:val="both"/>
        <w:rPr>
          <w:sz w:val="20"/>
        </w:rPr>
      </w:pPr>
      <w:r>
        <w:rPr>
          <w:sz w:val="20"/>
        </w:rPr>
      </w:r>
    </w:p>
    <w:p>
      <w:pPr>
        <w:pStyle w:val="Normal"/>
        <w:numPr>
          <w:ilvl w:val="0"/>
          <w:numId w:val="3"/>
        </w:numPr>
        <w:jc w:val="both"/>
        <w:rPr>
          <w:sz w:val="20"/>
        </w:rPr>
      </w:pPr>
      <w:r>
        <w:rPr>
          <w:sz w:val="20"/>
        </w:rPr>
        <w:t>Aquila is still biggest competitor.  They use the product to leverage service agreements and power sales with small utilities.  They have stronger power origination in the Midwest than Enron.</w:t>
      </w:r>
    </w:p>
    <w:p>
      <w:pPr>
        <w:pStyle w:val="Normal"/>
        <w:numPr>
          <w:ilvl w:val="0"/>
          <w:numId w:val="3"/>
        </w:numPr>
        <w:jc w:val="both"/>
        <w:rPr>
          <w:sz w:val="20"/>
        </w:rPr>
      </w:pPr>
      <w:r>
        <w:rPr>
          <w:sz w:val="20"/>
        </w:rPr>
        <w:t xml:space="preserve">Reinsurance can be obtained in the current market.  9/11 fallout in the insurance industry may have some effect on this market, but the primary players, such as Ace, are unlikely to scale back.  Ace’s revenue was down substantially in 2001 compared to 2000, so they are likely to be more aggressive in the market for 2002.  Swiss Re, the #3 insurer in this market, is planning a larger presence in this market for 2002.  We have also received offers from AEGIS.  </w:t>
      </w:r>
    </w:p>
    <w:p>
      <w:pPr>
        <w:pStyle w:val="Normal"/>
        <w:numPr>
          <w:ilvl w:val="0"/>
          <w:numId w:val="3"/>
        </w:numPr>
        <w:jc w:val="both"/>
        <w:rPr>
          <w:sz w:val="20"/>
        </w:rPr>
      </w:pPr>
      <w:r>
        <w:rPr>
          <w:sz w:val="20"/>
        </w:rPr>
        <w:t>Volatility in the power markets is down about 75% from last year.  This significantly reduces the risk in our deals.</w:t>
      </w:r>
    </w:p>
    <w:p>
      <w:pPr>
        <w:pStyle w:val="Normal"/>
        <w:jc w:val="both"/>
        <w:rPr>
          <w:sz w:val="20"/>
        </w:rPr>
      </w:pPr>
      <w:r>
        <w:rPr>
          <w:sz w:val="20"/>
        </w:rPr>
      </w:r>
    </w:p>
    <w:p>
      <w:pPr>
        <w:pStyle w:val="Heading1"/>
        <w:ind w:hanging="0" w:start="0"/>
        <w:rPr/>
      </w:pPr>
      <w:r>
        <w:rPr/>
        <w:t>2002 Strategy</w:t>
      </w:r>
    </w:p>
    <w:p>
      <w:pPr>
        <w:pStyle w:val="Normal"/>
        <w:jc w:val="both"/>
        <w:rPr>
          <w:sz w:val="20"/>
        </w:rPr>
      </w:pPr>
      <w:r>
        <w:rPr>
          <w:sz w:val="20"/>
        </w:rPr>
      </w:r>
    </w:p>
    <w:p>
      <w:pPr>
        <w:pStyle w:val="Normal"/>
        <w:numPr>
          <w:ilvl w:val="0"/>
          <w:numId w:val="2"/>
        </w:numPr>
        <w:jc w:val="both"/>
        <w:rPr>
          <w:sz w:val="20"/>
        </w:rPr>
      </w:pPr>
      <w:r>
        <w:rPr>
          <w:sz w:val="20"/>
        </w:rPr>
        <w:t>Premiums and payout limits will be much smaller, so we are focusing on a slower revenue growth but lower risk strategy.  The portfolio structure will be different from 2001, with lower overall P100 exposure and lower VAR, even while booking more MWh.</w:t>
      </w:r>
    </w:p>
    <w:p>
      <w:pPr>
        <w:pStyle w:val="Normal"/>
        <w:numPr>
          <w:ilvl w:val="0"/>
          <w:numId w:val="2"/>
        </w:numPr>
        <w:jc w:val="both"/>
        <w:rPr>
          <w:sz w:val="20"/>
        </w:rPr>
      </w:pPr>
      <w:r>
        <w:rPr>
          <w:sz w:val="20"/>
        </w:rPr>
        <w:t>We are focusing on deals that look more like power trades and less like insurance; ie, higher probability payouts that can be hedged in power markets instead of low probability events.  For example, there are some structures that allow us to collect a high percentage of the full option value, so we are less leveraged.  We have worked closely with the power desk to lay off the power positions that we build up.</w:t>
      </w:r>
    </w:p>
    <w:p>
      <w:pPr>
        <w:pStyle w:val="Normal"/>
        <w:numPr>
          <w:ilvl w:val="0"/>
          <w:numId w:val="2"/>
        </w:numPr>
        <w:jc w:val="both"/>
        <w:rPr>
          <w:sz w:val="20"/>
        </w:rPr>
      </w:pPr>
      <w:r>
        <w:rPr>
          <w:sz w:val="20"/>
        </w:rPr>
        <w:t>We are planning to obtain insurance even on smaller deals to demonstrate how the market can work.  We are giving up value by doing this, but we are adapting to the corporate desire for a lower risk profile this year.</w:t>
      </w:r>
    </w:p>
    <w:p>
      <w:pPr>
        <w:pStyle w:val="Normal"/>
        <w:numPr>
          <w:ilvl w:val="0"/>
          <w:numId w:val="2"/>
        </w:numPr>
        <w:jc w:val="both"/>
        <w:rPr>
          <w:sz w:val="20"/>
        </w:rPr>
      </w:pPr>
      <w:r>
        <w:rPr>
          <w:sz w:val="20"/>
        </w:rPr>
        <w:t>Increased focus on blending our product into power sales and working with East and West Power to create firm/nonfirm arbitrage.  This is a new application so we can achieve better margins by avoiding competition with insurance companies.</w:t>
      </w:r>
    </w:p>
    <w:p>
      <w:pPr>
        <w:pStyle w:val="Normal"/>
        <w:numPr>
          <w:ilvl w:val="0"/>
          <w:numId w:val="2"/>
        </w:numPr>
        <w:jc w:val="both"/>
        <w:rPr>
          <w:sz w:val="20"/>
        </w:rPr>
      </w:pPr>
      <w:r>
        <w:rPr>
          <w:sz w:val="20"/>
        </w:rPr>
        <w:t>We have origination and structuring capability in our group for both weather and power.  To help the company with its expense reduction goals, we want to use the NY office for northeast and mid-atlantic origination instead of people flying from Houston for meetings.   There are frequently deals that we have access to that ENA does not because we are perceived as a separate group with a Chinese wall between us and the trading desk.</w:t>
      </w:r>
    </w:p>
    <w:p>
      <w:pPr>
        <w:pStyle w:val="Normal"/>
        <w:numPr>
          <w:ilvl w:val="0"/>
          <w:numId w:val="2"/>
        </w:numPr>
        <w:jc w:val="both"/>
        <w:rPr>
          <w:sz w:val="20"/>
        </w:rPr>
      </w:pPr>
      <w:r>
        <w:rPr>
          <w:sz w:val="20"/>
        </w:rPr>
        <w:t>The recent agreement with Dynegy presents one new opportunity for us, which is to use the outage option to hedge the Dynegy generation portfolio and increase marketing flexibility across the portfoilio.  We have done this successfully with other unregulated generators (and saved them several million $ in one season), and on a smaller scale within Enron (eg, New Albany).</w:t>
      </w:r>
    </w:p>
    <w:p>
      <w:pPr>
        <w:pStyle w:val="Normal"/>
        <w:rPr>
          <w:sz w:val="20"/>
        </w:rPr>
      </w:pPr>
      <w:r>
        <w:rPr>
          <w:sz w:val="20"/>
        </w:rPr>
      </w:r>
    </w:p>
    <w:sectPr>
      <w:type w:val="nextPage"/>
      <w:pgSz w:w="12240" w:h="15840"/>
      <w:pgMar w:left="1800" w:right="180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Liberation Serif" w:hAnsi="Liberation Serif" w:cs="Liberation Serif" w:hint="default"/>
        <w:sz w:val="20"/>
      </w:rPr>
    </w:lvl>
  </w:abstractNum>
  <w:abstractNum w:abstractNumId="3">
    <w:lvl w:ilvl="0">
      <w:start w:val="1"/>
      <w:numFmt w:val="bullet"/>
      <w:lvlText w:val="▪"/>
      <w:lvlJc w:val="start"/>
      <w:pPr>
        <w:tabs>
          <w:tab w:val="num" w:pos="720"/>
        </w:tabs>
        <w:ind w:start="720" w:hanging="360"/>
      </w:pPr>
      <w:rPr>
        <w:rFonts w:ascii="Liberation Serif" w:hAnsi="Liberation Serif" w:cs="Liberation Serif" w:hint="default"/>
        <w:sz w:val="20"/>
      </w:rPr>
    </w:lvl>
  </w:abstractNum>
  <w:abstractNum w:abstractNumId="4">
    <w:lvl w:ilvl="0">
      <w:start w:val="1"/>
      <w:numFmt w:val="bullet"/>
      <w:lvlText w:val="▪"/>
      <w:lvlJc w:val="start"/>
      <w:pPr>
        <w:tabs>
          <w:tab w:val="num" w:pos="720"/>
        </w:tabs>
        <w:ind w:start="720" w:hanging="360"/>
      </w:pPr>
      <w:rPr>
        <w:rFonts w:ascii="Liberation Serif" w:hAnsi="Liberation Serif" w:cs="Liberation Serif" w:hint="default"/>
        <w:sz w:val="20"/>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both"/>
      <w:outlineLvl w:val="0"/>
    </w:pPr>
    <w:rPr>
      <w:b/>
      <w:bCs/>
      <w:sz w:val="20"/>
    </w:rPr>
  </w:style>
  <w:style w:type="character" w:styleId="WW8Num1z0">
    <w:name w:val="WW8Num1z0"/>
    <w:qFormat/>
    <w:rPr>
      <w:sz w:val="20"/>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sz w:val="20"/>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sz w:val="20"/>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jc w:val="center"/>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2001-11-20T01:24:00Z</dcterms:created>
  <dc:creator>David Hoog</dc:creator>
  <dc:description/>
  <dc:language>en-CA</dc:language>
  <cp:lastModifiedBy>David Hoog</cp:lastModifiedBy>
  <cp:lastPrinted>2001-11-18T17:29:00Z</cp:lastPrinted>
  <dcterms:modified xsi:type="dcterms:W3CDTF">2001-11-20T01:24:00Z</dcterms:modified>
  <cp:revision>2</cp:revision>
  <dc:subject/>
  <dc:title>Multi-Trigger Options – Year 2001 Review</dc:title>
</cp:coreProperties>
</file>