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0" distT="118745" distB="118745" distL="118745" distR="118745" simplePos="0" locked="0" layoutInCell="0" allowOverlap="1" relativeHeight="2">
                <wp:simplePos x="0" y="0"/>
                <wp:positionH relativeFrom="margin">
                  <wp:posOffset>0</wp:posOffset>
                </wp:positionH>
                <wp:positionV relativeFrom="page">
                  <wp:posOffset>567690</wp:posOffset>
                </wp:positionV>
                <wp:extent cx="2441575" cy="1005840"/>
                <wp:effectExtent l="0" t="0" r="0" b="0"/>
                <wp:wrapTopAndBottom/>
                <wp:docPr id="1" name="Frame1"/>
                <a:graphic xmlns:a="http://schemas.openxmlformats.org/drawingml/2006/main">
                  <a:graphicData uri="http://schemas.microsoft.com/office/word/2010/wordprocessingShape">
                    <wps:wsp>
                      <wps:cNvSpPr txBox="1"/>
                      <wps:spPr>
                        <a:xfrm>
                          <a:off x="0" y="0"/>
                          <a:ext cx="2441575" cy="1005840"/>
                        </a:xfrm>
                        <a:prstGeom prst="rect"/>
                        <a:solidFill>
                          <a:srgbClr val="FFFFFF">
                            <a:alpha val="0"/>
                          </a:srgbClr>
                        </a:solidFill>
                      </wps:spPr>
                      <wps:txbx>
                        <w:txbxContent>
                          <w:p>
                            <w:pPr>
                              <w:pStyle w:val="CompanyName"/>
                              <w:rPr/>
                            </w:pPr>
                            <w:r>
                              <w:rPr/>
                            </w:r>
                          </w:p>
                        </w:txbxContent>
                      </wps:txbx>
                      <wps:bodyPr anchor="t" lIns="0" tIns="0" rIns="0" bIns="0">
                        <a:noAutofit/>
                      </wps:bodyPr>
                    </wps:wsp>
                  </a:graphicData>
                </a:graphic>
              </wp:anchor>
            </w:drawing>
          </mc:Choice>
          <mc:Fallback>
            <w:pict>
              <v:rect fillcolor="#FFFFFF" style="position:absolute;rotation:-0;width:192.25pt;height:79.2pt;mso-wrap-distance-left:9.35pt;mso-wrap-distance-right:9.35pt;mso-wrap-distance-top:9.35pt;mso-wrap-distance-bottom:9.35pt;margin-top:44.7pt;mso-position-vertical-relative:page;margin-left:0pt;mso-position-horizontal-relative:margin">
                <v:fill opacity="0f"/>
                <v:textbox inset="0in,0in,0in,0in">
                  <w:txbxContent>
                    <w:p>
                      <w:pPr>
                        <w:pStyle w:val="CompanyName"/>
                        <w:rPr/>
                      </w:pPr>
                      <w:r>
                        <w:rPr/>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page">
                  <wp:posOffset>1078230</wp:posOffset>
                </wp:positionH>
                <wp:positionV relativeFrom="page">
                  <wp:posOffset>668655</wp:posOffset>
                </wp:positionV>
                <wp:extent cx="2743200" cy="612775"/>
                <wp:effectExtent l="0" t="0" r="0" b="0"/>
                <wp:wrapTopAndBottom/>
                <wp:docPr id="2" name="Frame2"/>
                <a:graphic xmlns:a="http://schemas.openxmlformats.org/drawingml/2006/main">
                  <a:graphicData uri="http://schemas.microsoft.com/office/word/2010/wordprocessingShape">
                    <wps:wsp>
                      <wps:cNvSpPr txBox="1"/>
                      <wps:spPr>
                        <a:xfrm>
                          <a:off x="0" y="0"/>
                          <a:ext cx="2743200" cy="612775"/>
                        </a:xfrm>
                        <a:prstGeom prst="rect"/>
                        <a:solidFill>
                          <a:srgbClr val="FFFFFF">
                            <a:alpha val="0"/>
                          </a:srgbClr>
                        </a:solidFill>
                      </wps:spPr>
                      <wps:txbx>
                        <w:txbxContent>
                          <w:p>
                            <w:pPr>
                              <w:pStyle w:val="ReturnAddress"/>
                              <w:rPr/>
                            </w:pPr>
                            <w:r>
                              <w:rPr/>
                            </w:r>
                          </w:p>
                        </w:txbxContent>
                      </wps:txbx>
                      <wps:bodyPr anchor="t" lIns="0" tIns="0" rIns="0" bIns="0">
                        <a:noAutofit/>
                      </wps:bodyPr>
                    </wps:wsp>
                  </a:graphicData>
                </a:graphic>
              </wp:anchor>
            </w:drawing>
          </mc:Choice>
          <mc:Fallback>
            <w:pict>
              <v:rect fillcolor="#FFFFFF" style="position:absolute;rotation:-0;width:216pt;height:48.25pt;mso-wrap-distance-left:9.35pt;mso-wrap-distance-right:9.35pt;mso-wrap-distance-top:9.35pt;mso-wrap-distance-bottom:9.35pt;margin-top:52.65pt;mso-position-vertical-relative:page;margin-left:84.9pt;mso-position-horizontal-relative:page">
                <v:fill opacity="0f"/>
                <v:textbox inset="0in,0in,0in,0in">
                  <w:txbxContent>
                    <w:p>
                      <w:pPr>
                        <w:pStyle w:val="ReturnAddress"/>
                        <w:rPr/>
                      </w:pPr>
                      <w:r>
                        <w:rPr/>
                      </w:r>
                    </w:p>
                  </w:txbxContent>
                </v:textbox>
                <w10:wrap type="topAndBottom"/>
              </v:rect>
            </w:pict>
          </mc:Fallback>
        </mc:AlternateContent>
      </w:r>
    </w:p>
    <w:p>
      <w:pPr>
        <w:pStyle w:val="InsideAddressName"/>
        <w:rPr/>
      </w:pPr>
      <w:r>
        <w:rPr/>
        <w:t>Mr. Jeff Davis</w:t>
      </w:r>
    </w:p>
    <w:p>
      <w:pPr>
        <w:pStyle w:val="Salutation"/>
        <w:rPr/>
      </w:pPr>
      <w:r>
        <w:fldChar w:fldCharType="begin"/>
      </w:r>
      <w:r>
        <w:rPr/>
        <w:instrText xml:space="preserve"> AUTOTEXTLIST  </w:instrText>
      </w:r>
      <w:r>
        <w:rPr/>
      </w:r>
      <w:r>
        <w:rPr/>
        <w:fldChar w:fldCharType="separate"/>
      </w:r>
      <w:r>
        <w:rPr/>
        <w:t>Dear Jeff:</w:t>
      </w:r>
      <w:r/>
      <w:r>
        <w:rPr/>
        <w:fldChar w:fldCharType="end"/>
      </w:r>
      <w:r>
        <w:rPr/>
      </w:r>
    </w:p>
    <w:p>
      <w:pPr>
        <w:pStyle w:val="SubjectLine"/>
        <w:rPr>
          <w:rFonts w:ascii="Arial" w:hAnsi="Arial" w:cs="Arial"/>
        </w:rPr>
      </w:pPr>
      <w:r>
        <w:rPr>
          <w:rFonts w:cs="Arial" w:ascii="Arial" w:hAnsi="Arial"/>
        </w:rPr>
        <w:t xml:space="preserve">I would like to recommend Carole Frank for the Enron Analyst program.  Carole has worked with the West Natural Gas Risk group for the past year after completing her under graduate work and joining Enron.  During this time, she has proven that one can accomplish a great deal in a short period of time at Enron with solid interpersonal skills, persistence, and a desire to always do a little more than asked. </w:t>
      </w:r>
    </w:p>
    <w:p>
      <w:pPr>
        <w:pStyle w:val="SubjectLine"/>
        <w:rPr>
          <w:rFonts w:ascii="Arial" w:hAnsi="Arial" w:cs="Arial"/>
        </w:rPr>
      </w:pPr>
      <w:r>
        <w:rPr>
          <w:rFonts w:cs="Arial" w:ascii="Arial" w:hAnsi="Arial"/>
        </w:rPr>
        <w:t xml:space="preserve">Carole has provided the trading desk with a superior risk service for three separate traders on our desk.  Over the duration of a year, she has managed three financial books and one physical book.  Carole has been instrumental in transitioning the trading desk from one consolidated Intra-month physical book, to eight separate IM physical books managed by eight different west traders.   Her leadership in the risk group allowed our desk to coordinate all deal flow between our Houston and Denver offices.  She learned a great deal about how to book demand charges, transportation, and producer services deals to eliminate miscommunication on deals that can cause problems in the General ledger and the west desk as a whole. </w:t>
      </w:r>
    </w:p>
    <w:p>
      <w:pPr>
        <w:pStyle w:val="BodyText"/>
        <w:rPr/>
      </w:pPr>
      <w:r>
        <w:rPr/>
        <w:t xml:space="preserve">Carole has done an excellent job of communicating with other groups that are involved in supporting Natural Gas Trading.  She has established sound relationships with the Sitara group, Legal, Credit, and Logistics in order to better understand how deals are processed through Enron’s back office operations.  Carole has also worked with the Weather Derivatives group in order to properly book deals for our weather derivatives book on the desk.  </w:t>
      </w:r>
    </w:p>
    <w:p>
      <w:pPr>
        <w:pStyle w:val="BodyText"/>
        <w:rPr/>
      </w:pPr>
      <w:r>
        <w:rPr/>
        <w:t>Carole’s ambition to continue her career advancement by attending many available internal business seminars at Enron, and her superior performance in her defined role, makes her an excellent candidate for the Enron Analyst program.    Please accept my recommendation of Carole Frank for your program.</w:t>
      </w:r>
    </w:p>
    <w:p>
      <w:pPr>
        <w:pStyle w:val="Closing"/>
        <w:rPr/>
      </w:pPr>
      <w:r>
        <w:rPr/>
      </w:r>
    </w:p>
    <w:p>
      <w:pPr>
        <w:pStyle w:val="Closing"/>
        <w:rPr/>
      </w:pPr>
      <w:r>
        <w:fldChar w:fldCharType="begin"/>
      </w:r>
      <w:r>
        <w:rPr/>
        <w:instrText xml:space="preserve"> AUTOTEXTLIST  </w:instrText>
      </w:r>
      <w:r>
        <w:rPr/>
      </w:r>
      <w:r>
        <w:rPr/>
        <w:fldChar w:fldCharType="separate"/>
      </w:r>
      <w:r>
        <w:rPr/>
        <w:t>Sincerely,</w:t>
      </w:r>
      <w:r/>
      <w:r>
        <w:rPr/>
        <w:fldChar w:fldCharType="end"/>
      </w:r>
      <w:r>
        <w:rPr/>
      </w:r>
    </w:p>
    <w:p>
      <w:pPr>
        <w:pStyle w:val="Signature"/>
        <w:rPr/>
      </w:pPr>
      <w:r>
        <w:rPr/>
        <w:t>Michael D. Grigsby</w:t>
      </w:r>
    </w:p>
    <w:p>
      <w:pPr>
        <w:pStyle w:val="SignatureJobTitle"/>
        <w:rPr/>
      </w:pPr>
      <w:r>
        <w:rPr/>
        <w:t>Vice President, Desk Director, West Gas Trading</w:t>
      </w:r>
    </w:p>
    <w:sectPr>
      <w:headerReference w:type="default" r:id="rId2"/>
      <w:headerReference w:type="first" r:id="rId3"/>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2001-10-02T01:00:00Z</dcterms:created>
  <dc:creator>Mike Grigsby</dc:creator>
  <dc:description/>
  <dc:language>en-CA</dc:language>
  <cp:lastModifiedBy>Mike Grigsby</cp:lastModifiedBy>
  <dcterms:modified xsi:type="dcterms:W3CDTF">2001-10-02T01:38:00Z</dcterms:modified>
  <cp:revision>4</cp:revision>
  <dc:subject/>
  <dc:title>Professional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