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DEALS at CARLTON</w:t>
      </w:r>
    </w:p>
    <w:p>
      <w:pPr>
        <w:pStyle w:val="Normal"/>
        <w:rPr/>
      </w:pPr>
      <w:r>
        <w:rPr/>
      </w:r>
    </w:p>
    <w:p>
      <w:pPr>
        <w:pStyle w:val="Normal"/>
        <w:rPr/>
      </w:pPr>
      <w:r>
        <w:rPr/>
        <w:t xml:space="preserve">This year Jeff and I have managed to sell NNG-Carlton for this winter period commencing on  November 1, 2000.   Total volume sold thus far is 17,092 Mmbtu/day  to customers with firm take away .   A small package of 5,000Mmbtu’s/day  was purchased FIRM from a marketing company CXY(Canada Oxy) .  Sales at the point were made to the following customers Utilicorp Untied, a LDC in Omaha, Nebraska, and MUD, Muni also in Omaha, Nebraska.  On the days NNG does not make shippers go to Carlton, MUD  will allow us to swap points with them i.e.  Demarc, Ventura, or Beatrice for Carlton.   Any revenues will be shared 50/50. All sales were done on a firm basis with the understanding that ENA has firm Great Lakes transport and will delivery all volumes to Carlton on a secondary delivery basis.   All pricing has been done 3 to 4 cents over variable economics. </w:t>
      </w:r>
    </w:p>
    <w:p>
      <w:pPr>
        <w:pStyle w:val="Normal"/>
        <w:rPr/>
      </w:pPr>
      <w:r>
        <w:rPr/>
      </w:r>
    </w:p>
    <w:tbl>
      <w:tblPr>
        <w:tblW w:w="10428" w:type="dxa"/>
        <w:jc w:val="start"/>
        <w:tblInd w:w="0" w:type="dxa"/>
        <w:tblLayout w:type="fixed"/>
        <w:tblCellMar>
          <w:top w:w="0" w:type="dxa"/>
          <w:start w:w="30" w:type="dxa"/>
          <w:bottom w:w="0" w:type="dxa"/>
          <w:end w:w="30" w:type="dxa"/>
        </w:tblCellMar>
      </w:tblPr>
      <w:tblGrid>
        <w:gridCol w:w="1010"/>
        <w:gridCol w:w="1656"/>
        <w:gridCol w:w="1011"/>
        <w:gridCol w:w="2318"/>
        <w:gridCol w:w="2067"/>
        <w:gridCol w:w="1356"/>
        <w:gridCol w:w="1010"/>
      </w:tblGrid>
      <w:tr>
        <w:trPr>
          <w:trHeight w:val="262" w:hRule="atLeast"/>
        </w:trPr>
        <w:tc>
          <w:tcPr>
            <w:tcW w:w="1010" w:type="dxa"/>
            <w:tcBorders/>
          </w:tcPr>
          <w:p>
            <w:pPr>
              <w:pStyle w:val="Normal"/>
              <w:rPr>
                <w:rFonts w:ascii="Arial" w:hAnsi="Arial" w:cs="Arial"/>
                <w:b/>
                <w:color w:val="000000"/>
                <w:lang w:eastAsia="en-US"/>
              </w:rPr>
            </w:pPr>
            <w:r>
              <w:rPr>
                <w:rFonts w:cs="Arial" w:ascii="Arial" w:hAnsi="Arial"/>
                <w:b/>
                <w:color w:val="000000"/>
                <w:lang w:eastAsia="en-US"/>
              </w:rPr>
              <w:t>Buy/Sell</w:t>
            </w:r>
          </w:p>
        </w:tc>
        <w:tc>
          <w:tcPr>
            <w:tcW w:w="1656" w:type="dxa"/>
            <w:tcBorders/>
          </w:tcPr>
          <w:p>
            <w:pPr>
              <w:pStyle w:val="Normal"/>
              <w:rPr>
                <w:rFonts w:ascii="Arial" w:hAnsi="Arial" w:cs="Arial"/>
                <w:b/>
                <w:color w:val="000000"/>
                <w:lang w:eastAsia="en-US"/>
              </w:rPr>
            </w:pPr>
            <w:r>
              <w:rPr>
                <w:rFonts w:cs="Arial" w:ascii="Arial" w:hAnsi="Arial"/>
                <w:b/>
                <w:color w:val="000000"/>
                <w:lang w:eastAsia="en-US"/>
              </w:rPr>
              <w:t>Company</w:t>
            </w:r>
          </w:p>
        </w:tc>
        <w:tc>
          <w:tcPr>
            <w:tcW w:w="1011" w:type="dxa"/>
            <w:tcBorders/>
          </w:tcPr>
          <w:p>
            <w:pPr>
              <w:pStyle w:val="Normal"/>
              <w:rPr>
                <w:rFonts w:ascii="Arial" w:hAnsi="Arial" w:cs="Arial"/>
                <w:b/>
                <w:color w:val="000000"/>
                <w:lang w:eastAsia="en-US"/>
              </w:rPr>
            </w:pPr>
            <w:r>
              <w:rPr>
                <w:rFonts w:cs="Arial" w:ascii="Arial" w:hAnsi="Arial"/>
                <w:b/>
                <w:color w:val="000000"/>
                <w:lang w:eastAsia="en-US"/>
              </w:rPr>
              <w:t>Volume</w:t>
            </w:r>
          </w:p>
        </w:tc>
        <w:tc>
          <w:tcPr>
            <w:tcW w:w="2318" w:type="dxa"/>
            <w:tcBorders/>
          </w:tcPr>
          <w:p>
            <w:pPr>
              <w:pStyle w:val="Normal"/>
              <w:rPr>
                <w:rFonts w:ascii="Arial" w:hAnsi="Arial" w:cs="Arial"/>
                <w:b/>
                <w:color w:val="000000"/>
                <w:lang w:eastAsia="en-US"/>
              </w:rPr>
            </w:pPr>
            <w:r>
              <w:rPr>
                <w:rFonts w:cs="Arial" w:ascii="Arial" w:hAnsi="Arial"/>
                <w:b/>
                <w:color w:val="000000"/>
                <w:lang w:eastAsia="en-US"/>
              </w:rPr>
              <w:t>Price</w:t>
            </w:r>
          </w:p>
        </w:tc>
        <w:tc>
          <w:tcPr>
            <w:tcW w:w="2067" w:type="dxa"/>
            <w:tcBorders/>
          </w:tcPr>
          <w:p>
            <w:pPr>
              <w:pStyle w:val="Normal"/>
              <w:rPr>
                <w:rFonts w:ascii="Arial" w:hAnsi="Arial" w:cs="Arial"/>
                <w:b/>
                <w:color w:val="000000"/>
                <w:lang w:eastAsia="en-US"/>
              </w:rPr>
            </w:pPr>
            <w:r>
              <w:rPr>
                <w:rFonts w:cs="Arial" w:ascii="Arial" w:hAnsi="Arial"/>
                <w:b/>
                <w:color w:val="000000"/>
                <w:lang w:eastAsia="en-US"/>
              </w:rPr>
              <w:t>Term</w:t>
            </w:r>
          </w:p>
        </w:tc>
        <w:tc>
          <w:tcPr>
            <w:tcW w:w="1356" w:type="dxa"/>
            <w:tcBorders/>
          </w:tcPr>
          <w:p>
            <w:pPr>
              <w:pStyle w:val="Normal"/>
              <w:rPr>
                <w:rFonts w:ascii="Arial" w:hAnsi="Arial" w:cs="Arial"/>
                <w:b/>
                <w:color w:val="000000"/>
                <w:lang w:eastAsia="en-US"/>
              </w:rPr>
            </w:pPr>
            <w:r>
              <w:rPr>
                <w:rFonts w:cs="Arial" w:ascii="Arial" w:hAnsi="Arial"/>
                <w:b/>
                <w:color w:val="000000"/>
                <w:lang w:eastAsia="en-US"/>
              </w:rPr>
              <w:t>Type</w:t>
            </w:r>
          </w:p>
        </w:tc>
        <w:tc>
          <w:tcPr>
            <w:tcW w:w="1010"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62" w:hRule="atLeast"/>
        </w:trPr>
        <w:tc>
          <w:tcPr>
            <w:tcW w:w="1010" w:type="dxa"/>
            <w:tcBorders/>
          </w:tcPr>
          <w:p>
            <w:pPr>
              <w:pStyle w:val="Normal"/>
              <w:rPr>
                <w:rFonts w:ascii="Arial" w:hAnsi="Arial" w:cs="Arial"/>
                <w:color w:val="000000"/>
                <w:lang w:eastAsia="en-US"/>
              </w:rPr>
            </w:pPr>
            <w:r>
              <w:rPr>
                <w:rFonts w:cs="Arial" w:ascii="Arial" w:hAnsi="Arial"/>
                <w:color w:val="000000"/>
                <w:lang w:eastAsia="en-US"/>
              </w:rPr>
              <w:t>Sell</w:t>
            </w:r>
          </w:p>
        </w:tc>
        <w:tc>
          <w:tcPr>
            <w:tcW w:w="1656" w:type="dxa"/>
            <w:tcBorders/>
          </w:tcPr>
          <w:p>
            <w:pPr>
              <w:pStyle w:val="Normal"/>
              <w:rPr>
                <w:rFonts w:ascii="Arial" w:hAnsi="Arial" w:cs="Arial"/>
                <w:color w:val="000000"/>
                <w:lang w:eastAsia="en-US"/>
              </w:rPr>
            </w:pPr>
            <w:r>
              <w:rPr>
                <w:rFonts w:cs="Arial" w:ascii="Arial" w:hAnsi="Arial"/>
                <w:color w:val="000000"/>
                <w:lang w:eastAsia="en-US"/>
              </w:rPr>
              <w:t>Utilicorp United</w:t>
            </w:r>
          </w:p>
        </w:tc>
        <w:tc>
          <w:tcPr>
            <w:tcW w:w="1011" w:type="dxa"/>
            <w:tcBorders/>
          </w:tcPr>
          <w:p>
            <w:pPr>
              <w:pStyle w:val="Normal"/>
              <w:jc w:val="end"/>
              <w:rPr>
                <w:rFonts w:ascii="Arial" w:hAnsi="Arial" w:cs="Arial"/>
                <w:color w:val="000000"/>
                <w:lang w:eastAsia="en-US"/>
              </w:rPr>
            </w:pPr>
            <w:r>
              <w:rPr>
                <w:rFonts w:cs="Arial" w:ascii="Arial" w:hAnsi="Arial"/>
                <w:color w:val="000000"/>
                <w:lang w:eastAsia="en-US"/>
              </w:rPr>
              <w:t>5,000</w:t>
            </w:r>
          </w:p>
        </w:tc>
        <w:tc>
          <w:tcPr>
            <w:tcW w:w="2318" w:type="dxa"/>
            <w:tcBorders/>
          </w:tcPr>
          <w:p>
            <w:pPr>
              <w:pStyle w:val="Normal"/>
              <w:rPr>
                <w:rFonts w:ascii="Arial" w:hAnsi="Arial" w:cs="Arial"/>
                <w:color w:val="000000"/>
                <w:lang w:eastAsia="en-US"/>
              </w:rPr>
            </w:pPr>
            <w:r>
              <w:rPr>
                <w:rFonts w:cs="Arial" w:ascii="Arial" w:hAnsi="Arial"/>
                <w:color w:val="000000"/>
                <w:lang w:eastAsia="en-US"/>
              </w:rPr>
              <w:t>Ventura + $.1825 cents</w:t>
            </w:r>
          </w:p>
        </w:tc>
        <w:tc>
          <w:tcPr>
            <w:tcW w:w="2067" w:type="dxa"/>
            <w:tcBorders/>
          </w:tcPr>
          <w:p>
            <w:pPr>
              <w:pStyle w:val="Normal"/>
              <w:rPr>
                <w:rFonts w:ascii="Arial" w:hAnsi="Arial" w:cs="Arial"/>
                <w:color w:val="000000"/>
                <w:lang w:eastAsia="en-US"/>
              </w:rPr>
            </w:pPr>
            <w:r>
              <w:rPr>
                <w:rFonts w:cs="Arial" w:ascii="Arial" w:hAnsi="Arial"/>
                <w:color w:val="000000"/>
                <w:lang w:eastAsia="en-US"/>
              </w:rPr>
              <w:t>11/01/00 thru 3/31/01</w:t>
            </w:r>
          </w:p>
        </w:tc>
        <w:tc>
          <w:tcPr>
            <w:tcW w:w="2366" w:type="dxa"/>
            <w:gridSpan w:val="2"/>
            <w:tcBorders/>
          </w:tcPr>
          <w:p>
            <w:pPr>
              <w:pStyle w:val="Normal"/>
              <w:rPr>
                <w:rFonts w:ascii="Arial" w:hAnsi="Arial" w:cs="Arial"/>
                <w:color w:val="000000"/>
                <w:lang w:eastAsia="en-US"/>
              </w:rPr>
            </w:pPr>
            <w:r>
              <w:rPr>
                <w:rFonts w:cs="Arial" w:ascii="Arial" w:hAnsi="Arial"/>
                <w:color w:val="000000"/>
                <w:lang w:eastAsia="en-US"/>
              </w:rPr>
              <w:t>Secondary Firm</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rPr>
                <w:rFonts w:ascii="Arial" w:hAnsi="Arial" w:cs="Arial"/>
                <w:color w:val="000000"/>
                <w:lang w:eastAsia="en-US"/>
              </w:rPr>
            </w:pPr>
            <w:r>
              <w:rPr>
                <w:rFonts w:cs="Arial" w:ascii="Arial" w:hAnsi="Arial"/>
                <w:color w:val="000000"/>
                <w:lang w:eastAsia="en-US"/>
              </w:rPr>
              <w:t>Sell</w:t>
            </w:r>
          </w:p>
        </w:tc>
        <w:tc>
          <w:tcPr>
            <w:tcW w:w="1656" w:type="dxa"/>
            <w:tcBorders/>
          </w:tcPr>
          <w:p>
            <w:pPr>
              <w:pStyle w:val="Normal"/>
              <w:rPr>
                <w:rFonts w:ascii="Arial" w:hAnsi="Arial" w:cs="Arial"/>
                <w:color w:val="000000"/>
                <w:lang w:eastAsia="en-US"/>
              </w:rPr>
            </w:pPr>
            <w:r>
              <w:rPr>
                <w:rFonts w:cs="Arial" w:ascii="Arial" w:hAnsi="Arial"/>
                <w:color w:val="000000"/>
                <w:lang w:eastAsia="en-US"/>
              </w:rPr>
              <w:t>Utilicorp United</w:t>
            </w:r>
          </w:p>
        </w:tc>
        <w:tc>
          <w:tcPr>
            <w:tcW w:w="1011" w:type="dxa"/>
            <w:tcBorders/>
          </w:tcPr>
          <w:p>
            <w:pPr>
              <w:pStyle w:val="Normal"/>
              <w:jc w:val="end"/>
              <w:rPr>
                <w:rFonts w:ascii="Arial" w:hAnsi="Arial" w:cs="Arial"/>
                <w:color w:val="000000"/>
                <w:lang w:eastAsia="en-US"/>
              </w:rPr>
            </w:pPr>
            <w:r>
              <w:rPr>
                <w:rFonts w:cs="Arial" w:ascii="Arial" w:hAnsi="Arial"/>
                <w:color w:val="000000"/>
                <w:lang w:eastAsia="en-US"/>
              </w:rPr>
              <w:t>5,000</w:t>
            </w:r>
          </w:p>
        </w:tc>
        <w:tc>
          <w:tcPr>
            <w:tcW w:w="2318" w:type="dxa"/>
            <w:tcBorders/>
          </w:tcPr>
          <w:p>
            <w:pPr>
              <w:pStyle w:val="Normal"/>
              <w:rPr>
                <w:rFonts w:ascii="Arial" w:hAnsi="Arial" w:cs="Arial"/>
                <w:color w:val="000000"/>
                <w:lang w:eastAsia="en-US"/>
              </w:rPr>
            </w:pPr>
            <w:r>
              <w:rPr>
                <w:rFonts w:cs="Arial" w:ascii="Arial" w:hAnsi="Arial"/>
                <w:color w:val="000000"/>
                <w:lang w:eastAsia="en-US"/>
              </w:rPr>
              <w:t>Ventura + $.1875 cents</w:t>
            </w:r>
          </w:p>
        </w:tc>
        <w:tc>
          <w:tcPr>
            <w:tcW w:w="2067" w:type="dxa"/>
            <w:tcBorders/>
          </w:tcPr>
          <w:p>
            <w:pPr>
              <w:pStyle w:val="Normal"/>
              <w:rPr>
                <w:rFonts w:ascii="Arial" w:hAnsi="Arial" w:cs="Arial"/>
                <w:color w:val="000000"/>
                <w:lang w:eastAsia="en-US"/>
              </w:rPr>
            </w:pPr>
            <w:r>
              <w:rPr>
                <w:rFonts w:cs="Arial" w:ascii="Arial" w:hAnsi="Arial"/>
                <w:color w:val="000000"/>
                <w:lang w:eastAsia="en-US"/>
              </w:rPr>
              <w:t>11/01/00 thru 3/31/01</w:t>
            </w:r>
          </w:p>
        </w:tc>
        <w:tc>
          <w:tcPr>
            <w:tcW w:w="2366" w:type="dxa"/>
            <w:gridSpan w:val="2"/>
            <w:tcBorders/>
          </w:tcPr>
          <w:p>
            <w:pPr>
              <w:pStyle w:val="Normal"/>
              <w:rPr>
                <w:rFonts w:ascii="Arial" w:hAnsi="Arial" w:cs="Arial"/>
                <w:color w:val="000000"/>
                <w:lang w:eastAsia="en-US"/>
              </w:rPr>
            </w:pPr>
            <w:r>
              <w:rPr>
                <w:rFonts w:cs="Arial" w:ascii="Arial" w:hAnsi="Arial"/>
                <w:color w:val="000000"/>
                <w:lang w:eastAsia="en-US"/>
              </w:rPr>
              <w:t>Secondary Firm</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rPr>
                <w:rFonts w:ascii="Arial" w:hAnsi="Arial" w:cs="Arial"/>
                <w:color w:val="000000"/>
                <w:lang w:eastAsia="en-US"/>
              </w:rPr>
            </w:pPr>
            <w:r>
              <w:rPr>
                <w:rFonts w:cs="Arial" w:ascii="Arial" w:hAnsi="Arial"/>
                <w:color w:val="000000"/>
                <w:lang w:eastAsia="en-US"/>
              </w:rPr>
              <w:t>Sell</w:t>
            </w:r>
          </w:p>
        </w:tc>
        <w:tc>
          <w:tcPr>
            <w:tcW w:w="1656" w:type="dxa"/>
            <w:tcBorders/>
          </w:tcPr>
          <w:p>
            <w:pPr>
              <w:pStyle w:val="Normal"/>
              <w:rPr>
                <w:rFonts w:ascii="Arial" w:hAnsi="Arial" w:cs="Arial"/>
                <w:color w:val="000000"/>
                <w:lang w:eastAsia="en-US"/>
              </w:rPr>
            </w:pPr>
            <w:r>
              <w:rPr>
                <w:rFonts w:cs="Arial" w:ascii="Arial" w:hAnsi="Arial"/>
                <w:color w:val="000000"/>
                <w:lang w:eastAsia="en-US"/>
              </w:rPr>
              <w:t>MUD</w:t>
            </w:r>
          </w:p>
        </w:tc>
        <w:tc>
          <w:tcPr>
            <w:tcW w:w="1011" w:type="dxa"/>
            <w:tcBorders/>
          </w:tcPr>
          <w:p>
            <w:pPr>
              <w:pStyle w:val="Normal"/>
              <w:jc w:val="end"/>
              <w:rPr>
                <w:rFonts w:ascii="Arial" w:hAnsi="Arial" w:cs="Arial"/>
                <w:color w:val="000000"/>
                <w:lang w:eastAsia="en-US"/>
              </w:rPr>
            </w:pPr>
            <w:r>
              <w:rPr>
                <w:rFonts w:cs="Arial" w:ascii="Arial" w:hAnsi="Arial"/>
                <w:color w:val="000000"/>
                <w:lang w:eastAsia="en-US"/>
              </w:rPr>
              <w:t>7,092</w:t>
            </w:r>
          </w:p>
        </w:tc>
        <w:tc>
          <w:tcPr>
            <w:tcW w:w="2318" w:type="dxa"/>
            <w:tcBorders/>
          </w:tcPr>
          <w:p>
            <w:pPr>
              <w:pStyle w:val="Normal"/>
              <w:rPr>
                <w:rFonts w:ascii="Arial" w:hAnsi="Arial" w:cs="Arial"/>
                <w:color w:val="000000"/>
                <w:lang w:eastAsia="en-US"/>
              </w:rPr>
            </w:pPr>
            <w:r>
              <w:rPr>
                <w:rFonts w:cs="Arial" w:ascii="Arial" w:hAnsi="Arial"/>
                <w:color w:val="000000"/>
                <w:lang w:eastAsia="en-US"/>
              </w:rPr>
              <w:t>NX1 +$.205 cents</w:t>
            </w:r>
          </w:p>
        </w:tc>
        <w:tc>
          <w:tcPr>
            <w:tcW w:w="2067" w:type="dxa"/>
            <w:tcBorders/>
          </w:tcPr>
          <w:p>
            <w:pPr>
              <w:pStyle w:val="Normal"/>
              <w:rPr>
                <w:rFonts w:ascii="Arial" w:hAnsi="Arial" w:cs="Arial"/>
                <w:color w:val="000000"/>
                <w:lang w:eastAsia="en-US"/>
              </w:rPr>
            </w:pPr>
            <w:r>
              <w:rPr>
                <w:rFonts w:cs="Arial" w:ascii="Arial" w:hAnsi="Arial"/>
                <w:color w:val="000000"/>
                <w:lang w:eastAsia="en-US"/>
              </w:rPr>
              <w:t>11/01/00 thru 3/31/01</w:t>
            </w:r>
          </w:p>
        </w:tc>
        <w:tc>
          <w:tcPr>
            <w:tcW w:w="1356" w:type="dxa"/>
            <w:tcBorders/>
          </w:tcPr>
          <w:p>
            <w:pPr>
              <w:pStyle w:val="Normal"/>
              <w:rPr>
                <w:rFonts w:ascii="Arial" w:hAnsi="Arial" w:cs="Arial"/>
                <w:color w:val="000000"/>
                <w:lang w:eastAsia="en-US"/>
              </w:rPr>
            </w:pPr>
            <w:r>
              <w:rPr>
                <w:rFonts w:cs="Arial" w:ascii="Arial" w:hAnsi="Arial"/>
                <w:color w:val="000000"/>
                <w:lang w:eastAsia="en-US"/>
              </w:rPr>
              <w:t>Firm</w:t>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rPr>
                <w:rFonts w:ascii="Arial" w:hAnsi="Arial" w:cs="Arial"/>
                <w:color w:val="000000"/>
                <w:lang w:eastAsia="en-US"/>
              </w:rPr>
            </w:pPr>
            <w:r>
              <w:rPr>
                <w:rFonts w:cs="Arial" w:ascii="Arial" w:hAnsi="Arial"/>
                <w:color w:val="000000"/>
                <w:lang w:eastAsia="en-US"/>
              </w:rPr>
              <w:t>Buy</w:t>
            </w:r>
          </w:p>
        </w:tc>
        <w:tc>
          <w:tcPr>
            <w:tcW w:w="1656" w:type="dxa"/>
            <w:tcBorders/>
          </w:tcPr>
          <w:p>
            <w:pPr>
              <w:pStyle w:val="Normal"/>
              <w:rPr>
                <w:rFonts w:ascii="Arial" w:hAnsi="Arial" w:cs="Arial"/>
                <w:color w:val="000000"/>
                <w:lang w:eastAsia="en-US"/>
              </w:rPr>
            </w:pPr>
            <w:r>
              <w:rPr>
                <w:rFonts w:cs="Arial" w:ascii="Arial" w:hAnsi="Arial"/>
                <w:color w:val="000000"/>
                <w:lang w:eastAsia="en-US"/>
              </w:rPr>
              <w:t>CXY</w:t>
            </w:r>
          </w:p>
        </w:tc>
        <w:tc>
          <w:tcPr>
            <w:tcW w:w="1011" w:type="dxa"/>
            <w:tcBorders/>
          </w:tcPr>
          <w:p>
            <w:pPr>
              <w:pStyle w:val="Normal"/>
              <w:jc w:val="end"/>
              <w:rPr>
                <w:rFonts w:ascii="Arial" w:hAnsi="Arial" w:cs="Arial"/>
                <w:color w:val="000000"/>
                <w:lang w:eastAsia="en-US"/>
              </w:rPr>
            </w:pPr>
            <w:r>
              <w:rPr>
                <w:rFonts w:cs="Arial" w:ascii="Arial" w:hAnsi="Arial"/>
                <w:color w:val="000000"/>
                <w:lang w:eastAsia="en-US"/>
              </w:rPr>
              <w:t>5,000</w:t>
            </w:r>
          </w:p>
        </w:tc>
        <w:tc>
          <w:tcPr>
            <w:tcW w:w="2318" w:type="dxa"/>
            <w:tcBorders/>
          </w:tcPr>
          <w:p>
            <w:pPr>
              <w:pStyle w:val="Normal"/>
              <w:rPr>
                <w:rFonts w:ascii="Arial" w:hAnsi="Arial" w:cs="Arial"/>
                <w:color w:val="000000"/>
                <w:lang w:eastAsia="en-US"/>
              </w:rPr>
            </w:pPr>
            <w:r>
              <w:rPr>
                <w:rFonts w:cs="Arial" w:ascii="Arial" w:hAnsi="Arial"/>
                <w:color w:val="000000"/>
                <w:lang w:eastAsia="en-US"/>
              </w:rPr>
              <w:t>Ventura + $.16 cents</w:t>
            </w:r>
          </w:p>
        </w:tc>
        <w:tc>
          <w:tcPr>
            <w:tcW w:w="2067" w:type="dxa"/>
            <w:tcBorders/>
          </w:tcPr>
          <w:p>
            <w:pPr>
              <w:pStyle w:val="Normal"/>
              <w:rPr>
                <w:rFonts w:ascii="Arial" w:hAnsi="Arial" w:cs="Arial"/>
                <w:color w:val="000000"/>
                <w:lang w:eastAsia="en-US"/>
              </w:rPr>
            </w:pPr>
            <w:r>
              <w:rPr>
                <w:rFonts w:cs="Arial" w:ascii="Arial" w:hAnsi="Arial"/>
                <w:color w:val="000000"/>
                <w:lang w:eastAsia="en-US"/>
              </w:rPr>
              <w:t>11/01/00 thru 3/31/01</w:t>
            </w:r>
          </w:p>
        </w:tc>
        <w:tc>
          <w:tcPr>
            <w:tcW w:w="1356" w:type="dxa"/>
            <w:tcBorders/>
          </w:tcPr>
          <w:p>
            <w:pPr>
              <w:pStyle w:val="Normal"/>
              <w:rPr>
                <w:rFonts w:ascii="Arial" w:hAnsi="Arial" w:cs="Arial"/>
                <w:color w:val="000000"/>
                <w:lang w:eastAsia="en-US"/>
              </w:rPr>
            </w:pPr>
            <w:r>
              <w:rPr>
                <w:rFonts w:cs="Arial" w:ascii="Arial" w:hAnsi="Arial"/>
                <w:color w:val="000000"/>
                <w:lang w:eastAsia="en-US"/>
              </w:rPr>
              <w:t>Firm</w:t>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Heading1"/>
        <w:ind w:hanging="0" w:start="0" w:end="-720"/>
        <w:rPr>
          <w:b w:val="false"/>
        </w:rPr>
      </w:pPr>
      <w:r>
        <w:rPr>
          <w:b w:val="false"/>
        </w:rPr>
        <w:t xml:space="preserve"> </w:t>
      </w:r>
      <w:r>
        <w:rPr>
          <w:b w:val="false"/>
        </w:rPr>
        <w:t>Sell</w:t>
        <w:tab/>
        <w:t xml:space="preserve">       WP&amp;L                                5,000 Ventura + .17</w:t>
        <w:tab/>
        <w:tab/>
        <w:t xml:space="preserve">      11/01 thru 3/31/01         Secondary firm </w:t>
      </w:r>
    </w:p>
    <w:p>
      <w:pPr>
        <w:pStyle w:val="Heading1"/>
        <w:ind w:hanging="0" w:start="0"/>
        <w:rPr/>
      </w:pPr>
      <w:r>
        <w:rPr/>
        <w:t>CARLTON METER</w:t>
      </w:r>
    </w:p>
    <w:p>
      <w:pPr>
        <w:pStyle w:val="Normal"/>
        <w:rPr/>
      </w:pPr>
      <w:r>
        <w:rPr/>
      </w:r>
    </w:p>
    <w:p>
      <w:pPr>
        <w:pStyle w:val="Normal"/>
        <w:rPr/>
      </w:pPr>
      <w:r>
        <w:rPr/>
        <w:t>We talked with Great Lakes about the operation of  the Carlton meter and Reyna, who used to allocate volumes at Carlton when she worked for Northern.  We have also spoke with NNG’s Gas Control group and they also confirmed.</w:t>
      </w:r>
    </w:p>
    <w:p>
      <w:pPr>
        <w:pStyle w:val="Normal"/>
        <w:rPr/>
      </w:pPr>
      <w:r>
        <w:rPr/>
      </w:r>
    </w:p>
    <w:p>
      <w:pPr>
        <w:pStyle w:val="Normal"/>
        <w:rPr/>
      </w:pPr>
      <w:r>
        <w:rPr/>
        <w:t xml:space="preserve">Great Lakes currently has about 140,000 of firm contracts to Carlton. In the winter period Great Lakes total capacity into NNG is about 650,000.  The NNG has about 421,000 of contract capacity 250,000 of  that is Carlton Resolution.  Meter size will vary based on load and temperature.  Therefore when NNG calls on shippers to move their receipt points back to Carlton,  there will never be an allocation of space on the Great Lakes side. Any Great Lakes shippers that has firm transport in the path of Carlton has equal rights into Northern. Firm shippers will only be cut into Carlton if there is a force majore event upstream on the mainline. Northern can allocate shippers that do not have firm Carlton receipts or that are attempting to pull away IT. </w:t>
      </w:r>
    </w:p>
    <w:p>
      <w:pPr>
        <w:pStyle w:val="Normal"/>
        <w:rPr/>
      </w:pPr>
      <w:r>
        <w:rPr/>
      </w:r>
    </w:p>
    <w:p>
      <w:pPr>
        <w:pStyle w:val="Normal"/>
        <w:rPr/>
      </w:pPr>
      <w:r>
        <w:rPr/>
        <w:t>Segmenting Great Lakes capacity has no effect on the quality of our firm service.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ASSETS</w:t>
      </w:r>
    </w:p>
    <w:p>
      <w:pPr>
        <w:pStyle w:val="Normal"/>
        <w:rPr/>
      </w:pPr>
      <w:r>
        <w:rPr/>
        <w:t>Great Lakes assets that ENA owns is 25,390 of  term capacity from Emerson to St. Clair.  CNRL sold ENA back the capacity for the Apr-Oct period.  There is a high probability that CNRL will  release the capacity  to ENA again.   We are waiting for a confirmation from the Canadian office.  70,000 of TCPL capacity release.  30,000 is part of the Sithe deal and the Canadian with not release this capacity to us unless they capture all of the spread.  The other 40,000 will start October 31, 2000.  ENA will do an ECR on the capacity.  The process will take two days.  Therefore the risk exposure will be on November 1</w:t>
      </w:r>
      <w:r>
        <w:rPr>
          <w:vertAlign w:val="superscript"/>
        </w:rPr>
        <w:t>st</w:t>
      </w:r>
      <w:r>
        <w:rPr/>
        <w:t xml:space="preserve"> and 2</w:t>
      </w:r>
      <w:r>
        <w:rPr>
          <w:vertAlign w:val="superscript"/>
        </w:rPr>
        <w:t>Nd</w:t>
      </w:r>
      <w:r>
        <w:rPr/>
        <w:t xml:space="preserve">..  ENA also owns  25,000 of capacity from NB-Joliet to Farwell.  </w:t>
      </w:r>
    </w:p>
    <w:p>
      <w:pPr>
        <w:pStyle w:val="Normal"/>
        <w:rPr>
          <w:b/>
        </w:rPr>
      </w:pPr>
      <w:r>
        <w:rPr>
          <w:b/>
        </w:rPr>
      </w:r>
    </w:p>
    <w:tbl>
      <w:tblPr>
        <w:tblW w:w="12578" w:type="dxa"/>
        <w:jc w:val="start"/>
        <w:tblInd w:w="0" w:type="dxa"/>
        <w:tblLayout w:type="fixed"/>
        <w:tblCellMar>
          <w:top w:w="0" w:type="dxa"/>
          <w:start w:w="30" w:type="dxa"/>
          <w:bottom w:w="0" w:type="dxa"/>
          <w:end w:w="30" w:type="dxa"/>
        </w:tblCellMar>
      </w:tblPr>
      <w:tblGrid>
        <w:gridCol w:w="1010"/>
        <w:gridCol w:w="1"/>
        <w:gridCol w:w="866"/>
        <w:gridCol w:w="144"/>
        <w:gridCol w:w="739"/>
        <w:gridCol w:w="679"/>
        <w:gridCol w:w="946"/>
        <w:gridCol w:w="1121"/>
        <w:gridCol w:w="1010"/>
        <w:gridCol w:w="1010"/>
        <w:gridCol w:w="1011"/>
        <w:gridCol w:w="1010"/>
        <w:gridCol w:w="1011"/>
        <w:gridCol w:w="1010"/>
        <w:gridCol w:w="1010"/>
      </w:tblGrid>
      <w:tr>
        <w:trPr>
          <w:trHeight w:val="262" w:hRule="atLeast"/>
        </w:trPr>
        <w:tc>
          <w:tcPr>
            <w:tcW w:w="2760" w:type="dxa"/>
            <w:gridSpan w:val="5"/>
            <w:tcBorders/>
          </w:tcPr>
          <w:p>
            <w:pPr>
              <w:pStyle w:val="Normal"/>
              <w:rPr>
                <w:rFonts w:ascii="Arial" w:hAnsi="Arial" w:cs="Arial"/>
                <w:b/>
                <w:color w:val="000000"/>
                <w:sz w:val="16"/>
                <w:lang w:eastAsia="en-US"/>
              </w:rPr>
            </w:pPr>
            <w:r>
              <w:rPr>
                <w:rFonts w:cs="Arial" w:ascii="Arial" w:hAnsi="Arial"/>
                <w:b/>
                <w:color w:val="000000"/>
                <w:sz w:val="16"/>
                <w:lang w:eastAsia="en-US"/>
              </w:rPr>
              <w:t>St. Clair(Nova, TCPL, GLGT)</w:t>
            </w:r>
          </w:p>
        </w:tc>
        <w:tc>
          <w:tcPr>
            <w:tcW w:w="0" w:type="dxa"/>
            <w:vMerge w:val="continue"/>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67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46"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12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62" w:hRule="atLeast"/>
        </w:trPr>
        <w:tc>
          <w:tcPr>
            <w:tcW w:w="1877" w:type="dxa"/>
            <w:gridSpan w:val="3"/>
            <w:tcBorders/>
          </w:tcPr>
          <w:p>
            <w:pPr>
              <w:pStyle w:val="Normal"/>
              <w:rPr>
                <w:rFonts w:ascii="Arial" w:hAnsi="Arial" w:cs="Arial"/>
                <w:b/>
                <w:color w:val="000000"/>
                <w:sz w:val="16"/>
                <w:u w:val="single"/>
                <w:lang w:eastAsia="en-US"/>
              </w:rPr>
            </w:pPr>
            <w:r>
              <w:rPr>
                <w:rFonts w:cs="Arial" w:ascii="Arial" w:hAnsi="Arial"/>
                <w:b/>
                <w:color w:val="000000"/>
                <w:sz w:val="16"/>
                <w:u w:val="single"/>
                <w:lang w:eastAsia="en-US"/>
              </w:rPr>
              <w:t>Counterparty</w:t>
            </w:r>
          </w:p>
        </w:tc>
        <w:tc>
          <w:tcPr>
            <w:tcW w:w="883" w:type="dxa"/>
            <w:gridSpan w:val="2"/>
            <w:tcBorders/>
          </w:tcPr>
          <w:p>
            <w:pPr>
              <w:pStyle w:val="Normal"/>
              <w:jc w:val="center"/>
              <w:rPr>
                <w:rFonts w:ascii="Arial" w:hAnsi="Arial" w:cs="Arial"/>
                <w:b/>
                <w:color w:val="000000"/>
                <w:sz w:val="16"/>
                <w:u w:val="single"/>
                <w:lang w:eastAsia="en-US"/>
              </w:rPr>
            </w:pPr>
            <w:r>
              <w:rPr>
                <w:rFonts w:cs="Arial" w:ascii="Arial" w:hAnsi="Arial"/>
                <w:b/>
                <w:color w:val="000000"/>
                <w:sz w:val="16"/>
                <w:u w:val="single"/>
                <w:lang w:eastAsia="en-US"/>
              </w:rPr>
              <w:t>Volume</w:t>
            </w:r>
          </w:p>
        </w:tc>
        <w:tc>
          <w:tcPr>
            <w:tcW w:w="679" w:type="dxa"/>
            <w:tcBorders/>
          </w:tcPr>
          <w:p>
            <w:pPr>
              <w:pStyle w:val="Normal"/>
              <w:jc w:val="center"/>
              <w:rPr>
                <w:rFonts w:ascii="Arial" w:hAnsi="Arial" w:cs="Arial"/>
                <w:b/>
                <w:color w:val="000000"/>
                <w:sz w:val="16"/>
                <w:u w:val="single"/>
                <w:lang w:eastAsia="en-US"/>
              </w:rPr>
            </w:pPr>
            <w:r>
              <w:rPr>
                <w:rFonts w:cs="Arial" w:ascii="Arial" w:hAnsi="Arial"/>
                <w:b/>
                <w:color w:val="000000"/>
                <w:sz w:val="16"/>
                <w:u w:val="single"/>
                <w:lang w:eastAsia="en-US"/>
              </w:rPr>
              <w:t>Units</w:t>
            </w:r>
          </w:p>
        </w:tc>
        <w:tc>
          <w:tcPr>
            <w:tcW w:w="946" w:type="dxa"/>
            <w:tcBorders/>
          </w:tcPr>
          <w:p>
            <w:pPr>
              <w:pStyle w:val="Normal"/>
              <w:jc w:val="center"/>
              <w:rPr>
                <w:rFonts w:ascii="Arial" w:hAnsi="Arial" w:cs="Arial"/>
                <w:b/>
                <w:color w:val="000000"/>
                <w:sz w:val="16"/>
                <w:u w:val="single"/>
                <w:lang w:eastAsia="en-US"/>
              </w:rPr>
            </w:pPr>
            <w:r>
              <w:rPr>
                <w:rFonts w:cs="Arial" w:ascii="Arial" w:hAnsi="Arial"/>
                <w:b/>
                <w:color w:val="000000"/>
                <w:sz w:val="16"/>
                <w:u w:val="single"/>
                <w:lang w:eastAsia="en-US"/>
              </w:rPr>
              <w:t>Start</w:t>
            </w:r>
          </w:p>
        </w:tc>
        <w:tc>
          <w:tcPr>
            <w:tcW w:w="1121" w:type="dxa"/>
            <w:tcBorders/>
          </w:tcPr>
          <w:p>
            <w:pPr>
              <w:pStyle w:val="Normal"/>
              <w:jc w:val="center"/>
              <w:rPr>
                <w:rFonts w:ascii="Arial" w:hAnsi="Arial" w:cs="Arial"/>
                <w:b/>
                <w:color w:val="000000"/>
                <w:sz w:val="16"/>
                <w:u w:val="single"/>
                <w:lang w:eastAsia="en-US"/>
              </w:rPr>
            </w:pPr>
            <w:r>
              <w:rPr>
                <w:rFonts w:cs="Arial" w:ascii="Arial" w:hAnsi="Arial"/>
                <w:b/>
                <w:color w:val="000000"/>
                <w:sz w:val="16"/>
                <w:u w:val="single"/>
                <w:lang w:eastAsia="en-US"/>
              </w:rPr>
              <w:t>Ends</w:t>
            </w:r>
          </w:p>
        </w:tc>
        <w:tc>
          <w:tcPr>
            <w:tcW w:w="1010" w:type="dxa"/>
            <w:tcBorders/>
          </w:tcPr>
          <w:p>
            <w:pPr>
              <w:pStyle w:val="Normal"/>
              <w:rPr>
                <w:rFonts w:ascii="Arial" w:hAnsi="Arial" w:cs="Arial"/>
                <w:b/>
                <w:color w:val="000000"/>
                <w:sz w:val="16"/>
                <w:u w:val="single"/>
                <w:lang w:eastAsia="en-US"/>
              </w:rPr>
            </w:pPr>
            <w:r>
              <w:rPr>
                <w:rFonts w:cs="Arial" w:ascii="Arial" w:hAnsi="Arial"/>
                <w:b/>
                <w:color w:val="000000"/>
                <w:sz w:val="16"/>
                <w:u w:val="single"/>
                <w:lang w:eastAsia="en-US"/>
              </w:rPr>
              <w:t>Notes</w:t>
            </w:r>
          </w:p>
        </w:tc>
        <w:tc>
          <w:tcPr>
            <w:tcW w:w="1010" w:type="dxa"/>
            <w:tcBorders/>
          </w:tcPr>
          <w:p>
            <w:pPr>
              <w:pStyle w:val="Normal"/>
              <w:snapToGrid w:val="false"/>
              <w:jc w:val="end"/>
              <w:rPr>
                <w:rFonts w:ascii="Arial" w:hAnsi="Arial" w:cs="Arial"/>
                <w:b/>
                <w:color w:val="000000"/>
                <w:sz w:val="16"/>
                <w:u w:val="single"/>
                <w:lang w:eastAsia="en-US"/>
              </w:rPr>
            </w:pPr>
            <w:r>
              <w:rPr>
                <w:rFonts w:cs="Arial" w:ascii="Arial" w:hAnsi="Arial"/>
                <w:b/>
                <w:color w:val="000000"/>
                <w:sz w:val="16"/>
                <w:u w:val="single"/>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62" w:hRule="atLeast"/>
        </w:trPr>
        <w:tc>
          <w:tcPr>
            <w:tcW w:w="1877"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Beau</w:t>
            </w:r>
          </w:p>
        </w:tc>
        <w:tc>
          <w:tcPr>
            <w:tcW w:w="88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5,000</w:t>
            </w:r>
          </w:p>
        </w:tc>
        <w:tc>
          <w:tcPr>
            <w:tcW w:w="679" w:type="dxa"/>
            <w:tcBorders/>
          </w:tcPr>
          <w:p>
            <w:pPr>
              <w:pStyle w:val="Normal"/>
              <w:rPr>
                <w:rFonts w:ascii="Arial" w:hAnsi="Arial" w:cs="Arial"/>
                <w:color w:val="000000"/>
                <w:sz w:val="16"/>
                <w:lang w:eastAsia="en-US"/>
              </w:rPr>
            </w:pPr>
            <w:r>
              <w:rPr>
                <w:rFonts w:cs="Arial" w:ascii="Arial" w:hAnsi="Arial"/>
                <w:color w:val="000000"/>
                <w:sz w:val="16"/>
                <w:lang w:eastAsia="en-US"/>
              </w:rPr>
              <w:t>MMBtu</w:t>
            </w:r>
          </w:p>
        </w:tc>
        <w:tc>
          <w:tcPr>
            <w:tcW w:w="946" w:type="dxa"/>
            <w:tcBorders/>
          </w:tcPr>
          <w:p>
            <w:pPr>
              <w:pStyle w:val="Normal"/>
              <w:jc w:val="end"/>
              <w:rPr>
                <w:rFonts w:ascii="Arial" w:hAnsi="Arial" w:cs="Arial"/>
                <w:color w:val="000000"/>
                <w:sz w:val="16"/>
                <w:lang w:eastAsia="en-US"/>
              </w:rPr>
            </w:pPr>
            <w:r>
              <w:rPr>
                <w:rFonts w:cs="Arial" w:ascii="Arial" w:hAnsi="Arial"/>
                <w:color w:val="000000"/>
                <w:sz w:val="16"/>
                <w:lang w:eastAsia="en-US"/>
              </w:rPr>
              <w:t>11/1/1998</w:t>
            </w:r>
          </w:p>
        </w:tc>
        <w:tc>
          <w:tcPr>
            <w:tcW w:w="1121" w:type="dxa"/>
            <w:tcBorders/>
          </w:tcPr>
          <w:p>
            <w:pPr>
              <w:pStyle w:val="Normal"/>
              <w:jc w:val="end"/>
              <w:rPr>
                <w:rFonts w:ascii="Arial" w:hAnsi="Arial" w:cs="Arial"/>
                <w:color w:val="000000"/>
                <w:sz w:val="16"/>
                <w:lang w:eastAsia="en-US"/>
              </w:rPr>
            </w:pPr>
            <w:r>
              <w:rPr>
                <w:rFonts w:cs="Arial" w:ascii="Arial" w:hAnsi="Arial"/>
                <w:color w:val="000000"/>
                <w:sz w:val="16"/>
                <w:lang w:eastAsia="en-US"/>
              </w:rPr>
              <w:t>10/31/2008</w:t>
            </w:r>
          </w:p>
        </w:tc>
        <w:tc>
          <w:tcPr>
            <w:tcW w:w="5052" w:type="dxa"/>
            <w:gridSpan w:val="5"/>
            <w:tcBorders/>
          </w:tcPr>
          <w:p>
            <w:pPr>
              <w:pStyle w:val="Normal"/>
              <w:rPr>
                <w:rFonts w:ascii="Arial" w:hAnsi="Arial" w:cs="Arial"/>
                <w:color w:val="000000"/>
                <w:sz w:val="16"/>
                <w:lang w:eastAsia="en-US"/>
              </w:rPr>
            </w:pPr>
            <w:r>
              <w:rPr>
                <w:rFonts w:cs="Arial" w:ascii="Arial" w:hAnsi="Arial"/>
                <w:color w:val="000000"/>
                <w:sz w:val="16"/>
                <w:lang w:eastAsia="en-US"/>
              </w:rPr>
              <w:t>Permanent Assignment, yearly temp assignment back to ECC/ENA</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62" w:hRule="atLeast"/>
        </w:trPr>
        <w:tc>
          <w:tcPr>
            <w:tcW w:w="1877" w:type="dxa"/>
            <w:gridSpan w:val="3"/>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88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7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46"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12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072" w:type="dxa"/>
            <w:gridSpan w:val="7"/>
            <w:tcBorders/>
          </w:tcPr>
          <w:p>
            <w:pPr>
              <w:pStyle w:val="Normal"/>
              <w:rPr>
                <w:rFonts w:ascii="Arial" w:hAnsi="Arial" w:cs="Arial"/>
                <w:color w:val="000000"/>
                <w:sz w:val="16"/>
                <w:lang w:eastAsia="en-US"/>
              </w:rPr>
            </w:pPr>
            <w:r>
              <w:rPr>
                <w:rFonts w:cs="Arial" w:ascii="Arial" w:hAnsi="Arial"/>
                <w:color w:val="000000"/>
                <w:sz w:val="16"/>
                <w:lang w:eastAsia="en-US"/>
              </w:rPr>
              <w:t>ENA has the right to buy back their capacity. September 31st in the exercise date</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62" w:hRule="atLeast"/>
        </w:trPr>
        <w:tc>
          <w:tcPr>
            <w:tcW w:w="1877" w:type="dxa"/>
            <w:gridSpan w:val="3"/>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88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7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46"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12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62" w:hRule="atLeast"/>
        </w:trPr>
        <w:tc>
          <w:tcPr>
            <w:tcW w:w="1877"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CNRL</w:t>
            </w:r>
          </w:p>
        </w:tc>
        <w:tc>
          <w:tcPr>
            <w:tcW w:w="88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15,000</w:t>
            </w:r>
          </w:p>
        </w:tc>
        <w:tc>
          <w:tcPr>
            <w:tcW w:w="679" w:type="dxa"/>
            <w:tcBorders/>
          </w:tcPr>
          <w:p>
            <w:pPr>
              <w:pStyle w:val="Normal"/>
              <w:rPr>
                <w:rFonts w:ascii="Arial" w:hAnsi="Arial" w:cs="Arial"/>
                <w:color w:val="000000"/>
                <w:sz w:val="16"/>
                <w:lang w:eastAsia="en-US"/>
              </w:rPr>
            </w:pPr>
            <w:r>
              <w:rPr>
                <w:rFonts w:cs="Arial" w:ascii="Arial" w:hAnsi="Arial"/>
                <w:color w:val="000000"/>
                <w:sz w:val="16"/>
                <w:lang w:eastAsia="en-US"/>
              </w:rPr>
              <w:t>MMBtu</w:t>
            </w:r>
          </w:p>
        </w:tc>
        <w:tc>
          <w:tcPr>
            <w:tcW w:w="946" w:type="dxa"/>
            <w:tcBorders/>
          </w:tcPr>
          <w:p>
            <w:pPr>
              <w:pStyle w:val="Normal"/>
              <w:jc w:val="end"/>
              <w:rPr>
                <w:rFonts w:ascii="Arial" w:hAnsi="Arial" w:cs="Arial"/>
                <w:color w:val="000000"/>
                <w:sz w:val="16"/>
                <w:lang w:eastAsia="en-US"/>
              </w:rPr>
            </w:pPr>
            <w:r>
              <w:rPr>
                <w:rFonts w:cs="Arial" w:ascii="Arial" w:hAnsi="Arial"/>
                <w:color w:val="000000"/>
                <w:sz w:val="16"/>
                <w:lang w:eastAsia="en-US"/>
              </w:rPr>
              <w:t>11/1/1998</w:t>
            </w:r>
          </w:p>
        </w:tc>
        <w:tc>
          <w:tcPr>
            <w:tcW w:w="1121" w:type="dxa"/>
            <w:tcBorders/>
          </w:tcPr>
          <w:p>
            <w:pPr>
              <w:pStyle w:val="Normal"/>
              <w:jc w:val="end"/>
              <w:rPr>
                <w:rFonts w:ascii="Arial" w:hAnsi="Arial" w:cs="Arial"/>
                <w:color w:val="000000"/>
                <w:sz w:val="16"/>
                <w:lang w:eastAsia="en-US"/>
              </w:rPr>
            </w:pPr>
            <w:r>
              <w:rPr>
                <w:rFonts w:cs="Arial" w:ascii="Arial" w:hAnsi="Arial"/>
                <w:color w:val="000000"/>
                <w:sz w:val="16"/>
                <w:lang w:eastAsia="en-US"/>
              </w:rPr>
              <w:t>10/31/2008</w:t>
            </w:r>
          </w:p>
        </w:tc>
        <w:tc>
          <w:tcPr>
            <w:tcW w:w="5052" w:type="dxa"/>
            <w:gridSpan w:val="5"/>
            <w:tcBorders/>
          </w:tcPr>
          <w:p>
            <w:pPr>
              <w:pStyle w:val="Normal"/>
              <w:rPr>
                <w:rFonts w:ascii="Arial" w:hAnsi="Arial" w:cs="Arial"/>
                <w:color w:val="000000"/>
                <w:sz w:val="16"/>
                <w:lang w:eastAsia="en-US"/>
              </w:rPr>
            </w:pPr>
            <w:r>
              <w:rPr>
                <w:rFonts w:cs="Arial" w:ascii="Arial" w:hAnsi="Arial"/>
                <w:color w:val="000000"/>
                <w:sz w:val="16"/>
                <w:lang w:eastAsia="en-US"/>
              </w:rPr>
              <w:t>Permanent Assignment, yearly temp assignment back to ECC/ENA</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62" w:hRule="atLeast"/>
        </w:trPr>
        <w:tc>
          <w:tcPr>
            <w:tcW w:w="1877" w:type="dxa"/>
            <w:gridSpan w:val="3"/>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88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7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46"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12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072" w:type="dxa"/>
            <w:gridSpan w:val="7"/>
            <w:tcBorders/>
          </w:tcPr>
          <w:p>
            <w:pPr>
              <w:pStyle w:val="Normal"/>
              <w:rPr>
                <w:rFonts w:ascii="Arial" w:hAnsi="Arial" w:cs="Arial"/>
                <w:color w:val="000000"/>
                <w:sz w:val="16"/>
                <w:lang w:eastAsia="en-US"/>
              </w:rPr>
            </w:pPr>
            <w:r>
              <w:rPr>
                <w:rFonts w:cs="Arial" w:ascii="Arial" w:hAnsi="Arial"/>
                <w:color w:val="000000"/>
                <w:sz w:val="16"/>
                <w:lang w:eastAsia="en-US"/>
              </w:rPr>
              <w:t>ENA has the right to buy back their capacity. September 31st in the exercise date</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62" w:hRule="atLeast"/>
        </w:trPr>
        <w:tc>
          <w:tcPr>
            <w:tcW w:w="1877" w:type="dxa"/>
            <w:gridSpan w:val="3"/>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88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7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46"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12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62" w:hRule="atLeast"/>
        </w:trPr>
        <w:tc>
          <w:tcPr>
            <w:tcW w:w="1877"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Crestar</w:t>
            </w:r>
          </w:p>
        </w:tc>
        <w:tc>
          <w:tcPr>
            <w:tcW w:w="88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5,390</w:t>
            </w:r>
          </w:p>
        </w:tc>
        <w:tc>
          <w:tcPr>
            <w:tcW w:w="679" w:type="dxa"/>
            <w:tcBorders/>
          </w:tcPr>
          <w:p>
            <w:pPr>
              <w:pStyle w:val="Normal"/>
              <w:rPr>
                <w:rFonts w:ascii="Arial" w:hAnsi="Arial" w:cs="Arial"/>
                <w:color w:val="000000"/>
                <w:sz w:val="16"/>
                <w:lang w:eastAsia="en-US"/>
              </w:rPr>
            </w:pPr>
            <w:r>
              <w:rPr>
                <w:rFonts w:cs="Arial" w:ascii="Arial" w:hAnsi="Arial"/>
                <w:color w:val="000000"/>
                <w:sz w:val="16"/>
                <w:lang w:eastAsia="en-US"/>
              </w:rPr>
              <w:t>MMBtu</w:t>
            </w:r>
          </w:p>
        </w:tc>
        <w:tc>
          <w:tcPr>
            <w:tcW w:w="946" w:type="dxa"/>
            <w:tcBorders/>
          </w:tcPr>
          <w:p>
            <w:pPr>
              <w:pStyle w:val="Normal"/>
              <w:jc w:val="end"/>
              <w:rPr>
                <w:rFonts w:ascii="Arial" w:hAnsi="Arial" w:cs="Arial"/>
                <w:color w:val="000000"/>
                <w:sz w:val="16"/>
                <w:lang w:eastAsia="en-US"/>
              </w:rPr>
            </w:pPr>
            <w:r>
              <w:rPr>
                <w:rFonts w:cs="Arial" w:ascii="Arial" w:hAnsi="Arial"/>
                <w:color w:val="000000"/>
                <w:sz w:val="16"/>
                <w:lang w:eastAsia="en-US"/>
              </w:rPr>
              <w:t>11/1/1998</w:t>
            </w:r>
          </w:p>
        </w:tc>
        <w:tc>
          <w:tcPr>
            <w:tcW w:w="1121" w:type="dxa"/>
            <w:tcBorders/>
          </w:tcPr>
          <w:p>
            <w:pPr>
              <w:pStyle w:val="Normal"/>
              <w:jc w:val="end"/>
              <w:rPr>
                <w:rFonts w:ascii="Arial" w:hAnsi="Arial" w:cs="Arial"/>
                <w:color w:val="000000"/>
                <w:sz w:val="16"/>
                <w:lang w:eastAsia="en-US"/>
              </w:rPr>
            </w:pPr>
            <w:r>
              <w:rPr>
                <w:rFonts w:cs="Arial" w:ascii="Arial" w:hAnsi="Arial"/>
                <w:color w:val="000000"/>
                <w:sz w:val="16"/>
                <w:lang w:eastAsia="en-US"/>
              </w:rPr>
              <w:t>10/31/2008</w:t>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62" w:hRule="atLeast"/>
        </w:trPr>
        <w:tc>
          <w:tcPr>
            <w:tcW w:w="1877" w:type="dxa"/>
            <w:gridSpan w:val="3"/>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88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7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46"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12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62" w:hRule="atLeast"/>
        </w:trPr>
        <w:tc>
          <w:tcPr>
            <w:tcW w:w="1877"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Max Yearly Remaining</w:t>
            </w:r>
          </w:p>
        </w:tc>
        <w:tc>
          <w:tcPr>
            <w:tcW w:w="883" w:type="dxa"/>
            <w:gridSpan w:val="2"/>
            <w:tcBorders>
              <w:top w:val="single" w:sz="6" w:space="0" w:color="000000"/>
              <w:bottom w:val="single" w:sz="6"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25,390</w:t>
            </w:r>
          </w:p>
        </w:tc>
        <w:tc>
          <w:tcPr>
            <w:tcW w:w="67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46"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12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62" w:hRule="atLeast"/>
        </w:trPr>
        <w:tc>
          <w:tcPr>
            <w:tcW w:w="1877" w:type="dxa"/>
            <w:gridSpan w:val="3"/>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8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2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57" w:type="dxa"/>
            <w:gridSpan w:val="11"/>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62" w:hRule="atLeast"/>
        </w:trPr>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57" w:type="dxa"/>
            <w:gridSpan w:val="11"/>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68" w:type="dxa"/>
            <w:gridSpan w:val="1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62" w:hRule="atLeast"/>
        </w:trPr>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57" w:type="dxa"/>
            <w:gridSpan w:val="11"/>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68" w:type="dxa"/>
            <w:gridSpan w:val="1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62" w:hRule="atLeast"/>
        </w:trPr>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57" w:type="dxa"/>
            <w:gridSpan w:val="11"/>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62" w:hRule="atLeast"/>
        </w:trPr>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57" w:type="dxa"/>
            <w:gridSpan w:val="11"/>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62" w:hRule="atLeast"/>
        </w:trPr>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57" w:type="dxa"/>
            <w:gridSpan w:val="11"/>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62" w:hRule="atLeast"/>
        </w:trPr>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57" w:type="dxa"/>
            <w:gridSpan w:val="11"/>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bl>
    <w:p>
      <w:pPr>
        <w:pStyle w:val="Normal"/>
        <w:rPr>
          <w:b/>
        </w:rPr>
      </w:pPr>
      <w:r>
        <w:rPr>
          <w:b/>
        </w:rPr>
        <w:t>Hedge Strategy</w:t>
      </w:r>
    </w:p>
    <w:p>
      <w:pPr>
        <w:pStyle w:val="Normal"/>
        <w:rPr/>
      </w:pPr>
      <w:r>
        <w:rPr/>
        <w:t>All Great Lakes positions (include Emerson, Farwell and St. Clair) are booked in the FT-Ontario book and managed as part of that Portfolio.</w:t>
      </w:r>
    </w:p>
    <w:p>
      <w:pPr>
        <w:pStyle w:val="Normal"/>
        <w:rPr/>
      </w:pPr>
      <w:r>
        <w:rPr/>
        <w:t>Buy third party firm supply at Carlton</w:t>
      </w:r>
    </w:p>
    <w:p>
      <w:pPr>
        <w:pStyle w:val="Normal"/>
        <w:rPr/>
      </w:pPr>
      <w:r>
        <w:rPr/>
        <w:t>Divert transport</w:t>
      </w:r>
    </w:p>
    <w:p>
      <w:pPr>
        <w:pStyle w:val="Normal"/>
        <w:rPr/>
      </w:pPr>
      <w:r>
        <w:rPr/>
        <w:t>Purchases additional Great Lakes Transport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2000-08-08T17:12:00Z</dcterms:created>
  <dc:creator>spollan</dc:creator>
  <dc:description/>
  <dc:language>en-CA</dc:language>
  <cp:lastModifiedBy>spollan</cp:lastModifiedBy>
  <cp:lastPrinted>2000-08-08T14:23:00Z</cp:lastPrinted>
  <dcterms:modified xsi:type="dcterms:W3CDTF">2000-09-08T13:59:00Z</dcterms:modified>
  <cp:revision>4</cp:revision>
  <dc:subject/>
  <dc:title>This year Jeff and I have manage to sell NNG-Carlton for this winter period commencing on  November 1, 2000</dc:title>
</cp:coreProperties>
</file>