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tabs>
          <w:tab w:val="clear" w:pos="1800"/>
          <w:tab w:val="left" w:pos="1080" w:leader="none"/>
        </w:tabs>
        <w:ind w:hanging="1080" w:start="1080" w:end="0"/>
        <w:jc w:val="center"/>
        <w:rPr>
          <w:rFonts w:ascii="Garamond" w:hAnsi="Garamond" w:cs="Garamond"/>
          <w:b/>
          <w:sz w:val="40"/>
        </w:rPr>
      </w:pPr>
      <w:r>
        <w:rPr>
          <w:rFonts w:cs="Garamond" w:ascii="Garamond" w:hAnsi="Garamond"/>
          <w:b/>
          <w:sz w:val="40"/>
        </w:rPr>
        <w:t>Confidential</w:t>
      </w:r>
    </w:p>
    <w:p>
      <w:pPr>
        <w:pStyle w:val="BodyTextIndent"/>
        <w:tabs>
          <w:tab w:val="clear" w:pos="1800"/>
          <w:tab w:val="left" w:pos="1080" w:leader="none"/>
        </w:tabs>
        <w:ind w:hanging="1080" w:start="1080" w:end="0"/>
        <w:jc w:val="center"/>
        <w:rPr>
          <w:rFonts w:ascii="Garamond" w:hAnsi="Garamond" w:cs="Garamond"/>
          <w:b/>
          <w:sz w:val="40"/>
        </w:rPr>
      </w:pPr>
      <w:r>
        <w:rPr>
          <w:rFonts w:cs="Garamond" w:ascii="Garamond" w:hAnsi="Garamond"/>
          <w:b/>
          <w:sz w:val="40"/>
        </w:rPr>
      </w:r>
    </w:p>
    <w:p>
      <w:pPr>
        <w:pStyle w:val="BodyTextIndent"/>
        <w:tabs>
          <w:tab w:val="clear" w:pos="1800"/>
          <w:tab w:val="left" w:pos="1080" w:leader="none"/>
        </w:tabs>
        <w:ind w:hanging="1080" w:start="1080" w:end="0"/>
        <w:jc w:val="center"/>
        <w:rPr>
          <w:rFonts w:ascii="Garamond" w:hAnsi="Garamond" w:cs="Garamond"/>
          <w:b/>
        </w:rPr>
      </w:pPr>
      <w:r>
        <w:rPr>
          <w:rFonts w:cs="Garamond" w:ascii="Garamond" w:hAnsi="Garamond"/>
          <w:b/>
        </w:rPr>
        <w:t>CAPACITY RELEASE DATASETS</w:t>
      </w:r>
    </w:p>
    <w:p>
      <w:pPr>
        <w:pStyle w:val="BodyTextIndent"/>
        <w:tabs>
          <w:tab w:val="clear" w:pos="1800"/>
          <w:tab w:val="left" w:pos="1080" w:leader="none"/>
        </w:tabs>
        <w:ind w:hanging="1080" w:start="1080" w:end="0"/>
        <w:jc w:val="center"/>
        <w:rPr>
          <w:rFonts w:ascii="Garamond" w:hAnsi="Garamond" w:cs="Garamond"/>
          <w:b/>
        </w:rPr>
      </w:pPr>
      <w:r>
        <w:rPr>
          <w:rFonts w:cs="Garamond" w:ascii="Garamond" w:hAnsi="Garamond"/>
          <w:b/>
        </w:rPr>
        <w:t>Concept and Implementation</w:t>
      </w:r>
    </w:p>
    <w:p>
      <w:pPr>
        <w:pStyle w:val="BodyTextIndent"/>
        <w:tabs>
          <w:tab w:val="clear" w:pos="1800"/>
          <w:tab w:val="left" w:pos="1080" w:leader="none"/>
        </w:tabs>
        <w:ind w:hanging="1080" w:start="1080" w:end="0"/>
        <w:jc w:val="both"/>
        <w:rPr>
          <w:rFonts w:ascii="Garamond" w:hAnsi="Garamond" w:cs="Garamond"/>
          <w:b/>
        </w:rPr>
      </w:pPr>
      <w:r>
        <w:rPr>
          <w:rFonts w:cs="Garamond" w:ascii="Garamond" w:hAnsi="Garamond"/>
          <w:b/>
        </w:rPr>
      </w:r>
    </w:p>
    <w:p>
      <w:pPr>
        <w:pStyle w:val="BodyTextIndent"/>
        <w:tabs>
          <w:tab w:val="clear" w:pos="1800"/>
          <w:tab w:val="left" w:pos="1080" w:leader="none"/>
        </w:tabs>
        <w:ind w:hanging="1080" w:start="1080" w:end="0"/>
        <w:jc w:val="both"/>
        <w:rPr/>
      </w:pPr>
      <w:r>
        <w:rPr>
          <w:rFonts w:cs="Garamond" w:ascii="Garamond" w:hAnsi="Garamond"/>
          <w:b/>
        </w:rPr>
        <w:t>Phase 1:</w:t>
      </w:r>
      <w:r>
        <w:rPr>
          <w:rFonts w:cs="Garamond" w:ascii="Garamond" w:hAnsi="Garamond"/>
        </w:rPr>
        <w:tab/>
      </w:r>
    </w:p>
    <w:p>
      <w:pPr>
        <w:pStyle w:val="BodyTextIndent"/>
        <w:tabs>
          <w:tab w:val="clear" w:pos="1800"/>
          <w:tab w:val="left" w:pos="0" w:leader="none"/>
        </w:tabs>
        <w:ind w:hanging="0" w:start="0" w:end="0"/>
        <w:jc w:val="both"/>
        <w:rPr>
          <w:rFonts w:ascii="Garamond" w:hAnsi="Garamond" w:cs="Garamond"/>
        </w:rPr>
      </w:pPr>
      <w:r>
        <w:rPr>
          <w:rFonts w:cs="Garamond" w:ascii="Garamond" w:hAnsi="Garamond"/>
        </w:rPr>
        <w:t>Development and implementation of GISB’s Capacity Release Related Standards for the purpose of gathering pipeline data for Capacity Traders and Logistics’ Morning Reports. Data gathered will create a one-stop-shop for Enron to monitor available capacity releases, awards, withdrawals, and replacements.  Reporting matrixes can be developed that will provide Traders with a view of capacity release activity at a global view.  GISB datasets include (see appendix for detailed descriptions): Offer Download, Bid Download, Award Download, Replacement Capacity, Withdrawal Download, Operationally Available and Unsubscribed Capacity Datasets, Upload of Request for Download of Posted Datasets, Response to Upload of Request for Download of Posted Datasets, System-Wide Notice Datasets (see appendix for detailed descriptions).</w:t>
      </w:r>
    </w:p>
    <w:p>
      <w:pPr>
        <w:pStyle w:val="BodyTextIndent"/>
        <w:tabs>
          <w:tab w:val="clear" w:pos="1800"/>
          <w:tab w:val="left" w:pos="1080" w:leader="none"/>
        </w:tabs>
        <w:ind w:hanging="1080" w:start="1080" w:end="0"/>
        <w:jc w:val="both"/>
        <w:rPr>
          <w:rFonts w:ascii="Garamond" w:hAnsi="Garamond" w:cs="Garamond"/>
        </w:rPr>
      </w:pPr>
      <w:r>
        <w:rPr>
          <w:rFonts w:cs="Garamond" w:ascii="Garamond" w:hAnsi="Garamond"/>
        </w:rPr>
      </w:r>
    </w:p>
    <w:p>
      <w:pPr>
        <w:pStyle w:val="Normal"/>
        <w:tabs>
          <w:tab w:val="clear" w:pos="720"/>
          <w:tab w:val="left" w:pos="1080" w:leader="none"/>
        </w:tabs>
        <w:ind w:hanging="1080" w:start="1080" w:end="0"/>
        <w:jc w:val="both"/>
        <w:rPr/>
      </w:pPr>
      <w:r>
        <w:rPr>
          <w:rFonts w:cs="Garamond" w:ascii="Garamond" w:hAnsi="Garamond"/>
          <w:b/>
        </w:rPr>
        <w:t>Phase 2:</w:t>
      </w:r>
      <w:r>
        <w:rPr>
          <w:rFonts w:cs="Garamond" w:ascii="Garamond" w:hAnsi="Garamond"/>
        </w:rPr>
        <w:tab/>
      </w:r>
    </w:p>
    <w:p>
      <w:pPr>
        <w:pStyle w:val="BodyText"/>
        <w:rPr>
          <w:sz w:val="20"/>
        </w:rPr>
      </w:pPr>
      <w:r>
        <w:rPr>
          <w:sz w:val="20"/>
        </w:rPr>
        <w:t>Development and implementation of GISB’s Capacity Release Related Standards for the purpose of creating an in-house interactive system for Capacity Traders.  GISB data sets to include (see appendix for detailed descriptions): Withdrawal Upload, Offer Upload, Offer Upload Quick, Offer Upload Notification, Offer Upload Bidder Confirmation, Offer Upload Bidder Confirmation Quick Response, Offer Upload Final Disposition, Note/Special Instruction, Bid Upload, Bid Upload Quick Response.</w:t>
      </w:r>
    </w:p>
    <w:p>
      <w:pPr>
        <w:pStyle w:val="BodyText"/>
        <w:rPr>
          <w:sz w:val="20"/>
        </w:rPr>
      </w:pPr>
      <w:r>
        <w:rPr>
          <w:sz w:val="20"/>
        </w:rPr>
      </w:r>
    </w:p>
    <w:p>
      <w:pPr>
        <w:pStyle w:val="BodyText"/>
        <w:rPr>
          <w:b/>
          <w:sz w:val="20"/>
        </w:rPr>
      </w:pPr>
      <w:r>
        <w:rPr>
          <w:b/>
          <w:sz w:val="20"/>
        </w:rPr>
        <w:t>Phase 3:</w:t>
      </w:r>
    </w:p>
    <w:p>
      <w:pPr>
        <w:pStyle w:val="BodyText"/>
        <w:rPr>
          <w:sz w:val="20"/>
        </w:rPr>
      </w:pPr>
      <w:r>
        <w:rPr>
          <w:sz w:val="20"/>
        </w:rPr>
        <w:t>The Commercial team is reviewing the possibility of using the electronic method to interact with EnronOnline.  ENA would gather and post this information on EnronOnline to create one central location for our customers to pull helpful market information. EnronOnline could post available offers, bids, and awards for all interstate pipelines for our customers, which would allow them to trade capacity directly with the pipelines via EnronOnline.  This would make EnronOnline a more valuable tool.  (Several questions are being addressed to make this happen).</w:t>
      </w:r>
    </w:p>
    <w:p>
      <w:pPr>
        <w:pStyle w:val="BodyText"/>
        <w:rPr>
          <w:sz w:val="20"/>
        </w:rPr>
      </w:pPr>
      <w:r>
        <w:rPr>
          <w:sz w:val="20"/>
        </w:rPr>
      </w:r>
    </w:p>
    <w:p>
      <w:pPr>
        <w:pStyle w:val="BodyTextIndent2"/>
        <w:ind w:start="0" w:end="0"/>
        <w:rPr>
          <w:b/>
          <w:sz w:val="20"/>
        </w:rPr>
      </w:pPr>
      <w:r>
        <w:rPr>
          <w:sz w:val="20"/>
        </w:rPr>
        <w:t xml:space="preserve">To make either concept reality, many considerations would need to take place.  A test plan along with a timeline, assumptions, and processes is essential.  Pipelines would have to commit to implementation dates and agree to work with ENA during the IT testing phase, user testing phase, and implementation phase.  Once in production, users would need to understand the GISB process and steps to take should their data files fail.  Users need to understand that once in production, many evils could surface: file failures, pipeline system problems, mergers, company buy-outs, lack of response/support/communication from pipelines, etc…  In addition, this is a “one at a time” thing, i.e, each pipeline would have to be set up for X12 individually.  </w:t>
      </w:r>
    </w:p>
    <w:p>
      <w:pPr>
        <w:pStyle w:val="Normal"/>
        <w:jc w:val="both"/>
        <w:rPr>
          <w:rFonts w:ascii="Garamond" w:hAnsi="Garamond" w:cs="Garamond"/>
          <w:b/>
          <w:sz w:val="20"/>
        </w:rPr>
      </w:pPr>
      <w:r>
        <w:rPr>
          <w:rFonts w:cs="Garamond" w:ascii="Garamond" w:hAnsi="Garamond"/>
          <w:b/>
          <w:sz w:val="20"/>
        </w:rPr>
      </w:r>
    </w:p>
    <w:p>
      <w:pPr>
        <w:pStyle w:val="Normal"/>
        <w:numPr>
          <w:ilvl w:val="0"/>
          <w:numId w:val="3"/>
        </w:numPr>
        <w:jc w:val="both"/>
        <w:rPr>
          <w:rFonts w:ascii="Garamond" w:hAnsi="Garamond" w:cs="Garamond"/>
        </w:rPr>
      </w:pPr>
      <w:r>
        <w:rPr>
          <w:rFonts w:cs="Garamond" w:ascii="Garamond" w:hAnsi="Garamond"/>
        </w:rPr>
        <w:t>Signed TPA’s from all interstate pipelines: Based on previous experience, pipelines seem to drag their feet when it comes to signing a TPA.  There are a total of 83 interstate pipelines ENA would go into production with and each pipeline uses different styles of TPAs.  Legal would have to approve each and an officer of the company would need to sign off.  A tracking system was developed for GISB EDI Nomination, Quick Response and Scheduled Quantity implementations.  This same tracking system could be used.  To get pipes to move quickly, ENA’s Legal counsel recommended to track timing and use written correspondence as much as possible.   If it gets to the point that the pipeline shows no progress of moving forward on getting the TPA signed, ENA would need to first file a complaint with GISB.  Should the GISB filing not produce results, ENA would then need to file a complaint with FERC.</w:t>
      </w:r>
    </w:p>
    <w:p>
      <w:pPr>
        <w:pStyle w:val="Normal"/>
        <w:numPr>
          <w:ilvl w:val="1"/>
          <w:numId w:val="3"/>
        </w:numPr>
        <w:jc w:val="both"/>
        <w:rPr>
          <w:rFonts w:ascii="Garamond" w:hAnsi="Garamond" w:cs="Garamond"/>
          <w:color w:val="0000FF"/>
        </w:rPr>
      </w:pPr>
      <w:r>
        <w:rPr>
          <w:rFonts w:cs="Garamond" w:ascii="Garamond" w:hAnsi="Garamond"/>
          <w:color w:val="0000FF"/>
        </w:rPr>
        <w:t>TPAs have been sent out, tracking database created, follow up is needed</w:t>
      </w:r>
    </w:p>
    <w:p>
      <w:pPr>
        <w:pStyle w:val="Normal"/>
        <w:numPr>
          <w:ilvl w:val="1"/>
          <w:numId w:val="3"/>
        </w:numPr>
        <w:jc w:val="both"/>
        <w:rPr>
          <w:rFonts w:ascii="Garamond" w:hAnsi="Garamond" w:cs="Garamond"/>
          <w:color w:val="0000FF"/>
        </w:rPr>
      </w:pPr>
      <w:r>
        <w:rPr>
          <w:rFonts w:cs="Garamond" w:ascii="Garamond" w:hAnsi="Garamond"/>
          <w:color w:val="0000FF"/>
        </w:rPr>
        <w:t>Pipelines will be contacted next week, questionnaire has been developed, and idea of pipeline perspective &amp; timeline will be available by end of week.</w:t>
      </w:r>
    </w:p>
    <w:p>
      <w:pPr>
        <w:pStyle w:val="Normal"/>
        <w:numPr>
          <w:ilvl w:val="0"/>
          <w:numId w:val="3"/>
        </w:numPr>
        <w:jc w:val="both"/>
        <w:rPr>
          <w:rFonts w:ascii="Garamond" w:hAnsi="Garamond" w:cs="Garamond"/>
        </w:rPr>
      </w:pPr>
      <w:r>
        <w:rPr>
          <w:rFonts w:cs="Garamond" w:ascii="Garamond" w:hAnsi="Garamond"/>
        </w:rPr>
        <w:t>Creation of a Database: Once we receive the information from the pipeline’s, we will need a spot to put the data.  The database would first consist of datafields we would expect based on the implementation guides.  Since the pipelines have so many newounces, consistent manipulation of the database would need to occur.</w:t>
      </w:r>
    </w:p>
    <w:p>
      <w:pPr>
        <w:pStyle w:val="Normal"/>
        <w:numPr>
          <w:ilvl w:val="1"/>
          <w:numId w:val="3"/>
        </w:numPr>
        <w:jc w:val="both"/>
        <w:rPr>
          <w:rFonts w:ascii="Garamond" w:hAnsi="Garamond" w:cs="Garamond"/>
          <w:color w:val="0000FF"/>
        </w:rPr>
      </w:pPr>
      <w:r>
        <w:rPr>
          <w:rFonts w:cs="Garamond" w:ascii="Garamond" w:hAnsi="Garamond"/>
          <w:color w:val="0000FF"/>
        </w:rPr>
        <w:t>In process of defining datafields, need to coordinate with IT Management, set priorities/expectations</w:t>
      </w:r>
    </w:p>
    <w:p>
      <w:pPr>
        <w:pStyle w:val="Normal"/>
        <w:numPr>
          <w:ilvl w:val="0"/>
          <w:numId w:val="3"/>
        </w:numPr>
        <w:jc w:val="both"/>
        <w:rPr>
          <w:rFonts w:ascii="Garamond" w:hAnsi="Garamond" w:cs="Garamond"/>
        </w:rPr>
      </w:pPr>
      <w:r>
        <w:rPr>
          <w:rFonts w:cs="Garamond" w:ascii="Garamond" w:hAnsi="Garamond"/>
        </w:rPr>
        <w:t>A complete update of pipelines DRNs, meters, zones, segments, blah blah blah, would need to be input into the system.  Current Global database does not house the most up-to-date pipeline information.  Changes in current procedures would need to take place (i.e. not use I.H.S. as a basis for input, but start using the pipeline’s data as a basis – or creation of separate facility database would need to be created).</w:t>
      </w:r>
    </w:p>
    <w:p>
      <w:pPr>
        <w:pStyle w:val="Normal"/>
        <w:numPr>
          <w:ilvl w:val="0"/>
          <w:numId w:val="3"/>
        </w:numPr>
        <w:jc w:val="both"/>
        <w:rPr>
          <w:rFonts w:ascii="Garamond" w:hAnsi="Garamond" w:cs="Garamond"/>
          <w:color w:val="0000FF"/>
        </w:rPr>
      </w:pPr>
      <w:r>
        <w:rPr>
          <w:rFonts w:cs="Garamond" w:ascii="Garamond" w:hAnsi="Garamond"/>
        </w:rPr>
        <w:t>HUB setup: Enron’s hub will need to prioritize and develop translation code for each data set.  Timing is a big factor.  Testing would need to occur in house prior to approaching a pipeline with a test plan.</w:t>
      </w:r>
    </w:p>
    <w:p>
      <w:pPr>
        <w:pStyle w:val="Normal"/>
        <w:numPr>
          <w:ilvl w:val="1"/>
          <w:numId w:val="3"/>
        </w:numPr>
        <w:jc w:val="both"/>
        <w:rPr>
          <w:rFonts w:ascii="Garamond" w:hAnsi="Garamond" w:cs="Garamond"/>
        </w:rPr>
      </w:pPr>
      <w:r>
        <w:rPr>
          <w:rFonts w:cs="Garamond" w:ascii="Garamond" w:hAnsi="Garamond"/>
          <w:color w:val="0000FF"/>
        </w:rPr>
        <w:t>Hub has been given code requirements, flat files, and timeline.  Completion scheduled for Aug 1.</w:t>
      </w:r>
    </w:p>
    <w:p>
      <w:pPr>
        <w:pStyle w:val="Normal"/>
        <w:numPr>
          <w:ilvl w:val="0"/>
          <w:numId w:val="3"/>
        </w:numPr>
        <w:jc w:val="both"/>
        <w:rPr>
          <w:rFonts w:ascii="Garamond" w:hAnsi="Garamond" w:cs="Garamond"/>
        </w:rPr>
      </w:pPr>
      <w:r>
        <w:rPr>
          <w:rFonts w:cs="Garamond" w:ascii="Garamond" w:hAnsi="Garamond"/>
        </w:rPr>
        <w:t>Development of Code to gather information to and from the HUB for system download and upload along with intense testing.  (This is for code that would automate requests for data.)</w:t>
      </w:r>
    </w:p>
    <w:p>
      <w:pPr>
        <w:pStyle w:val="Normal"/>
        <w:numPr>
          <w:ilvl w:val="1"/>
          <w:numId w:val="3"/>
        </w:numPr>
        <w:jc w:val="both"/>
        <w:rPr>
          <w:rFonts w:ascii="Garamond" w:hAnsi="Garamond" w:cs="Garamond"/>
        </w:rPr>
      </w:pPr>
      <w:r>
        <w:rPr>
          <w:rFonts w:cs="Garamond" w:ascii="Garamond" w:hAnsi="Garamond"/>
        </w:rPr>
        <w:t>In Progress</w:t>
      </w:r>
    </w:p>
    <w:p>
      <w:pPr>
        <w:pStyle w:val="Normal"/>
        <w:numPr>
          <w:ilvl w:val="0"/>
          <w:numId w:val="3"/>
        </w:numPr>
        <w:jc w:val="both"/>
        <w:rPr>
          <w:rFonts w:ascii="Garamond" w:hAnsi="Garamond" w:cs="Garamond"/>
        </w:rPr>
      </w:pPr>
      <w:r>
        <w:rPr>
          <w:rFonts w:eastAsia="Garamond" w:cs="Garamond" w:ascii="Garamond" w:hAnsi="Garamond"/>
        </w:rPr>
        <w:t xml:space="preserve"> </w:t>
      </w:r>
      <w:r>
        <w:rPr>
          <w:rFonts w:cs="Garamond" w:ascii="Garamond" w:hAnsi="Garamond"/>
        </w:rPr>
        <w:t>Pipeline Testing: Each pipeline’s gas management system is a little different.  How they interpret GISB’s implementation guide and make it work for what they currently have in place is a little different for each pipe.   Timing consideration for code manipulation, documentation, etc… would need to be considered.  Documentation of variances of GISB interpretation between the pipes is critical.</w:t>
      </w:r>
    </w:p>
    <w:p>
      <w:pPr>
        <w:pStyle w:val="Normal"/>
        <w:numPr>
          <w:ilvl w:val="0"/>
          <w:numId w:val="3"/>
        </w:numPr>
        <w:jc w:val="both"/>
        <w:rPr>
          <w:rFonts w:ascii="Garamond" w:hAnsi="Garamond" w:cs="Garamond"/>
        </w:rPr>
      </w:pPr>
      <w:r>
        <w:rPr>
          <w:rFonts w:cs="Garamond" w:ascii="Garamond" w:hAnsi="Garamond"/>
        </w:rPr>
        <w:t xml:space="preserve">Pipeline IT Resources plays a big factor in the implementation phase.  We have found that with most pipelines, coding for EDI has been sloppy and poorly managed.  In some cases, it takes months for the pipeline to correct their data to make it GISB compliant. </w:t>
      </w:r>
    </w:p>
    <w:p>
      <w:pPr>
        <w:pStyle w:val="Normal"/>
        <w:numPr>
          <w:ilvl w:val="0"/>
          <w:numId w:val="3"/>
        </w:numPr>
        <w:jc w:val="both"/>
        <w:rPr>
          <w:rFonts w:ascii="Garamond" w:hAnsi="Garamond" w:cs="Garamond"/>
        </w:rPr>
      </w:pPr>
      <w:r>
        <w:rPr>
          <w:rFonts w:cs="Garamond" w:ascii="Garamond" w:hAnsi="Garamond"/>
        </w:rPr>
        <w:t>Waivers – Due to the vast mandated EDI and EBB requirements issued by GISB and FERC, pipelines have asked for extensions.  Many are in the process of re-writing their gas management systems and will not push toward EDI implementation until their new system is complete.</w:t>
      </w:r>
    </w:p>
    <w:p>
      <w:pPr>
        <w:pStyle w:val="Normal"/>
        <w:numPr>
          <w:ilvl w:val="0"/>
          <w:numId w:val="3"/>
        </w:numPr>
        <w:jc w:val="both"/>
        <w:rPr>
          <w:rFonts w:ascii="Garamond" w:hAnsi="Garamond" w:cs="Garamond"/>
        </w:rPr>
      </w:pPr>
      <w:r>
        <w:rPr>
          <w:rFonts w:cs="Garamond" w:ascii="Garamond" w:hAnsi="Garamond"/>
        </w:rPr>
        <w:t>Cost –</w:t>
      </w:r>
    </w:p>
    <w:p>
      <w:pPr>
        <w:pStyle w:val="Normal"/>
        <w:numPr>
          <w:ilvl w:val="0"/>
          <w:numId w:val="3"/>
        </w:numPr>
        <w:jc w:val="both"/>
        <w:rPr>
          <w:rFonts w:ascii="Garamond" w:hAnsi="Garamond" w:cs="Garamond"/>
        </w:rPr>
      </w:pPr>
      <w:r>
        <w:rPr>
          <w:rFonts w:cs="Garamond" w:ascii="Garamond" w:hAnsi="Garamond"/>
        </w:rPr>
        <w:t>Personnel –</w:t>
      </w:r>
    </w:p>
    <w:p>
      <w:pPr>
        <w:pStyle w:val="Normal"/>
        <w:numPr>
          <w:ilvl w:val="0"/>
          <w:numId w:val="3"/>
        </w:numPr>
        <w:jc w:val="both"/>
        <w:rPr>
          <w:rFonts w:ascii="Garamond" w:hAnsi="Garamond" w:cs="Garamond"/>
        </w:rPr>
      </w:pPr>
      <w:r>
        <w:rPr>
          <w:rFonts w:cs="Garamond" w:ascii="Garamond" w:hAnsi="Garamond"/>
        </w:rPr>
        <w:t xml:space="preserve">Focus </w:t>
      </w:r>
    </w:p>
    <w:p>
      <w:pPr>
        <w:pStyle w:val="Normal"/>
        <w:numPr>
          <w:ilvl w:val="0"/>
          <w:numId w:val="3"/>
        </w:numPr>
        <w:jc w:val="both"/>
        <w:rPr>
          <w:rFonts w:ascii="Garamond" w:hAnsi="Garamond" w:cs="Garamond"/>
        </w:rPr>
      </w:pPr>
      <w:r>
        <w:rPr>
          <w:rFonts w:cs="Garamond" w:ascii="Garamond" w:hAnsi="Garamond"/>
        </w:rPr>
        <w:t xml:space="preserve">Timeline - </w:t>
      </w:r>
    </w:p>
    <w:p>
      <w:pPr>
        <w:pStyle w:val="Normal"/>
        <w:tabs>
          <w:tab w:val="clear" w:pos="720"/>
          <w:tab w:val="left" w:pos="1800" w:leader="none"/>
        </w:tabs>
        <w:ind w:hanging="1800" w:end="0"/>
        <w:jc w:val="both"/>
        <w:rPr>
          <w:rFonts w:ascii="Garamond" w:hAnsi="Garamond" w:cs="Garamond"/>
        </w:rPr>
      </w:pPr>
      <w:r>
        <w:rPr>
          <w:rFonts w:cs="Garamond" w:ascii="Garamond" w:hAnsi="Garamond"/>
        </w:rPr>
      </w:r>
      <w:r>
        <w:br w:type="page"/>
      </w:r>
    </w:p>
    <w:p>
      <w:pPr>
        <w:pStyle w:val="Normal"/>
        <w:tabs>
          <w:tab w:val="clear" w:pos="720"/>
          <w:tab w:val="left" w:pos="1800" w:leader="none"/>
        </w:tabs>
        <w:ind w:hanging="1800" w:end="0"/>
        <w:jc w:val="both"/>
        <w:rPr>
          <w:rFonts w:ascii="Garamond" w:hAnsi="Garamond" w:cs="Garamond"/>
        </w:rPr>
      </w:pPr>
      <w:r>
        <w:rPr>
          <w:rFonts w:cs="Garamond" w:ascii="Garamond" w:hAnsi="Garamond"/>
        </w:rPr>
      </w:r>
    </w:p>
    <w:p>
      <w:pPr>
        <w:pStyle w:val="Normal"/>
        <w:tabs>
          <w:tab w:val="clear" w:pos="720"/>
          <w:tab w:val="left" w:pos="1800" w:leader="none"/>
        </w:tabs>
        <w:ind w:hanging="1800" w:end="0"/>
        <w:jc w:val="both"/>
        <w:rPr>
          <w:rFonts w:ascii="Garamond" w:hAnsi="Garamond" w:cs="Garamond"/>
        </w:rPr>
      </w:pPr>
      <w:r>
        <w:rPr>
          <w:rFonts w:cs="Garamond" w:ascii="Garamond" w:hAnsi="Garamond"/>
        </w:rPr>
      </w:r>
    </w:p>
    <w:p>
      <w:pPr>
        <w:pStyle w:val="Normal"/>
        <w:tabs>
          <w:tab w:val="clear" w:pos="720"/>
          <w:tab w:val="left" w:pos="1800" w:leader="none"/>
        </w:tabs>
        <w:jc w:val="both"/>
        <w:rPr>
          <w:rFonts w:ascii="Garamond" w:hAnsi="Garamond" w:cs="Garamond"/>
          <w:b/>
          <w:u w:val="single"/>
        </w:rPr>
      </w:pPr>
      <w:r>
        <w:rPr>
          <w:rFonts w:cs="Garamond" w:ascii="Garamond" w:hAnsi="Garamond"/>
          <w:b/>
          <w:u w:val="single"/>
        </w:rPr>
        <w:t>Appendix for Concept 1:</w:t>
      </w:r>
    </w:p>
    <w:p>
      <w:pPr>
        <w:pStyle w:val="Normal"/>
        <w:tabs>
          <w:tab w:val="clear" w:pos="720"/>
          <w:tab w:val="left" w:pos="1800" w:leader="none"/>
        </w:tabs>
        <w:ind w:hanging="1800" w:end="0"/>
        <w:jc w:val="both"/>
        <w:rPr>
          <w:rFonts w:ascii="Garamond" w:hAnsi="Garamond" w:cs="Garamond"/>
          <w:b/>
          <w:u w:val="single"/>
        </w:rPr>
      </w:pPr>
      <w:r>
        <w:rPr>
          <w:rFonts w:cs="Garamond" w:ascii="Garamond" w:hAnsi="Garamond"/>
          <w:b/>
          <w:u w:val="single"/>
        </w:rPr>
      </w:r>
    </w:p>
    <w:p>
      <w:pPr>
        <w:pStyle w:val="Normal"/>
        <w:numPr>
          <w:ilvl w:val="0"/>
          <w:numId w:val="1"/>
        </w:numPr>
        <w:tabs>
          <w:tab w:val="clear" w:pos="720"/>
        </w:tabs>
        <w:ind w:hanging="540" w:start="540" w:end="0"/>
        <w:jc w:val="both"/>
        <w:rPr>
          <w:rFonts w:ascii="Garamond" w:hAnsi="Garamond" w:cs="Garamond"/>
        </w:rPr>
      </w:pPr>
      <w:r>
        <w:rPr>
          <w:rFonts w:cs="Garamond" w:ascii="Garamond" w:hAnsi="Garamond"/>
          <w:b/>
        </w:rPr>
        <w:t>Operationally Available and Unsubscribed Capacity</w:t>
      </w:r>
      <w:r>
        <w:rPr>
          <w:rFonts w:cs="Garamond" w:ascii="Garamond" w:hAnsi="Garamond"/>
        </w:rPr>
        <w:t xml:space="preserve"> data sets are reports from a transportation service provider to a data requester. Either both operationally available and unsubscribed capacity can be requested together, or either may be requested separately.   Operationally available capacity is interruptible capacity available from the transportation service provider for the time specified.  Unsubscribed capacity is firm capacity, also available from the transportation service provider, for which no party has contracted</w:t>
      </w:r>
    </w:p>
    <w:p>
      <w:pPr>
        <w:pStyle w:val="Normal"/>
        <w:numPr>
          <w:ilvl w:val="0"/>
          <w:numId w:val="1"/>
        </w:numPr>
        <w:tabs>
          <w:tab w:val="clear" w:pos="720"/>
        </w:tabs>
        <w:ind w:hanging="540" w:start="540" w:end="0"/>
        <w:jc w:val="both"/>
        <w:rPr>
          <w:rFonts w:ascii="Garamond" w:hAnsi="Garamond" w:cs="Garamond"/>
        </w:rPr>
      </w:pPr>
      <w:r>
        <w:rPr>
          <w:rFonts w:cs="Garamond" w:ascii="Garamond" w:hAnsi="Garamond"/>
          <w:b/>
        </w:rPr>
        <w:t>Upload of Request for Download of Posted Data sets</w:t>
      </w:r>
      <w:r>
        <w:rPr>
          <w:rFonts w:cs="Garamond" w:ascii="Garamond" w:hAnsi="Garamond"/>
        </w:rPr>
        <w:t xml:space="preserve"> document (Request) is sent from the data requester to the transportation service provider and is used to request a download of specific reports from the transportation service provider. The response document to the Request is the Response to Upload of Request for Download of Posted Data sets.  In the Request, the data requester indicates what type(s) of report(s) are being requested by specifying the data sets requested field. This may include any or all of offers, bids, awards, operationally available, unsubscribed capacity, replacement capacity (where applicable), system wide notices, or withdrawals.</w:t>
      </w:r>
    </w:p>
    <w:p>
      <w:pPr>
        <w:pStyle w:val="Normal"/>
        <w:numPr>
          <w:ilvl w:val="0"/>
          <w:numId w:val="1"/>
        </w:numPr>
        <w:tabs>
          <w:tab w:val="clear" w:pos="720"/>
        </w:tabs>
        <w:ind w:hanging="540" w:start="540" w:end="0"/>
        <w:jc w:val="both"/>
        <w:rPr>
          <w:rFonts w:ascii="Garamond" w:hAnsi="Garamond" w:cs="Garamond"/>
        </w:rPr>
      </w:pPr>
      <w:r>
        <w:rPr>
          <w:rFonts w:cs="Garamond" w:ascii="Garamond" w:hAnsi="Garamond"/>
          <w:b/>
        </w:rPr>
        <w:t>Response to Upload of Request for Download of Posted Data sets</w:t>
      </w:r>
      <w:r>
        <w:rPr>
          <w:rFonts w:cs="Garamond" w:ascii="Garamond" w:hAnsi="Garamond"/>
        </w:rPr>
        <w:t xml:space="preserve"> document (Response) is sent by the transportation service provider to the data requester in response to receiving and processing an Upload of Request for Download of Posted Data sets from the data requester. A Response is always sent, either with the reports responsive to the request, or alone if no reports match the parameters of the request.</w:t>
      </w:r>
    </w:p>
    <w:p>
      <w:pPr>
        <w:pStyle w:val="Normal"/>
        <w:numPr>
          <w:ilvl w:val="0"/>
          <w:numId w:val="1"/>
        </w:numPr>
        <w:tabs>
          <w:tab w:val="clear" w:pos="720"/>
        </w:tabs>
        <w:ind w:hanging="540" w:start="540" w:end="0"/>
        <w:jc w:val="both"/>
        <w:rPr>
          <w:rFonts w:ascii="Garamond" w:hAnsi="Garamond" w:cs="Garamond"/>
        </w:rPr>
      </w:pPr>
      <w:r>
        <w:rPr>
          <w:rFonts w:cs="Garamond" w:ascii="Garamond" w:hAnsi="Garamond"/>
          <w:b/>
        </w:rPr>
        <w:t>System-Wide Notice</w:t>
      </w:r>
      <w:r>
        <w:rPr>
          <w:rFonts w:cs="Garamond" w:ascii="Garamond" w:hAnsi="Garamond"/>
        </w:rPr>
        <w:t xml:space="preserve"> is a report from the transportation service provider to a data requester.  System-Wide Notices communicate a variety of textual information relating to the transportation service provider. Examples include scheduled maintenance, operational flow orders, capacity restrictions, transportation service provider's contact information, press releases, force majeure, and new or changed services. The notice type tells the receiver what type of notice it is. Although the System-Wide Notices document also can be used to communicate intraday bumps to specific bumped service requesters, such intraday bump notices are confidential communications between the transportation service provider and its service requester.</w:t>
      </w:r>
    </w:p>
    <w:p>
      <w:pPr>
        <w:pStyle w:val="Normal"/>
        <w:tabs>
          <w:tab w:val="clear" w:pos="720"/>
          <w:tab w:val="left" w:pos="1800" w:leader="none"/>
        </w:tabs>
        <w:jc w:val="both"/>
        <w:rPr>
          <w:rFonts w:ascii="Garamond" w:hAnsi="Garamond" w:cs="Garamond"/>
        </w:rPr>
      </w:pPr>
      <w:r>
        <w:rPr>
          <w:rFonts w:cs="Garamond" w:ascii="Garamond" w:hAnsi="Garamond"/>
        </w:rPr>
      </w:r>
    </w:p>
    <w:p>
      <w:pPr>
        <w:pStyle w:val="Normal"/>
        <w:tabs>
          <w:tab w:val="clear" w:pos="720"/>
          <w:tab w:val="left" w:pos="1800" w:leader="none"/>
        </w:tabs>
        <w:jc w:val="both"/>
        <w:rPr>
          <w:rFonts w:ascii="Garamond" w:hAnsi="Garamond" w:cs="Garamond"/>
        </w:rPr>
      </w:pPr>
      <w:r>
        <w:rPr>
          <w:rFonts w:cs="Garamond" w:ascii="Garamond" w:hAnsi="Garamond"/>
        </w:rPr>
      </w:r>
    </w:p>
    <w:p>
      <w:pPr>
        <w:pStyle w:val="Normal"/>
        <w:tabs>
          <w:tab w:val="clear" w:pos="720"/>
          <w:tab w:val="left" w:pos="1800" w:leader="none"/>
        </w:tabs>
        <w:jc w:val="both"/>
        <w:rPr>
          <w:rFonts w:ascii="Garamond" w:hAnsi="Garamond" w:cs="Garamond"/>
          <w:b/>
          <w:u w:val="single"/>
        </w:rPr>
      </w:pPr>
      <w:r>
        <w:rPr>
          <w:rFonts w:cs="Garamond" w:ascii="Garamond" w:hAnsi="Garamond"/>
          <w:b/>
          <w:u w:val="single"/>
        </w:rPr>
        <w:t>Appendix for Concept 2:</w:t>
      </w:r>
    </w:p>
    <w:p>
      <w:pPr>
        <w:pStyle w:val="Normal"/>
        <w:tabs>
          <w:tab w:val="clear" w:pos="720"/>
          <w:tab w:val="left" w:pos="1800" w:leader="none"/>
        </w:tabs>
        <w:jc w:val="both"/>
        <w:rPr>
          <w:rFonts w:ascii="Garamond" w:hAnsi="Garamond" w:cs="Garamond"/>
          <w:b/>
          <w:u w:val="single"/>
        </w:rPr>
      </w:pPr>
      <w:r>
        <w:rPr>
          <w:rFonts w:cs="Garamond" w:ascii="Garamond" w:hAnsi="Garamond"/>
          <w:b/>
          <w:u w:val="single"/>
        </w:rPr>
      </w:r>
    </w:p>
    <w:p>
      <w:pPr>
        <w:pStyle w:val="BodyTextIndent"/>
        <w:numPr>
          <w:ilvl w:val="0"/>
          <w:numId w:val="2"/>
        </w:numPr>
        <w:tabs>
          <w:tab w:val="clear" w:pos="1800"/>
        </w:tabs>
        <w:ind w:hanging="0" w:start="0" w:end="0"/>
        <w:jc w:val="both"/>
        <w:rPr>
          <w:rFonts w:ascii="Garamond" w:hAnsi="Garamond" w:cs="Garamond"/>
        </w:rPr>
      </w:pPr>
      <w:r>
        <w:rPr>
          <w:rFonts w:cs="Garamond" w:ascii="Garamond" w:hAnsi="Garamond"/>
          <w:b/>
        </w:rPr>
        <w:t>Offer Download</w:t>
      </w:r>
      <w:r>
        <w:rPr>
          <w:rFonts w:cs="Garamond" w:ascii="Garamond" w:hAnsi="Garamond"/>
        </w:rPr>
        <w:t xml:space="preserve"> is a report from a transportation service provider to a data requester. Each Offer Download contains a single offer of released firm capacity rights that a shipper has made against a contract on the transportation service provider's system. It also contains all of the terms and conditions pertaining to the offer so that the data requester can evaluate the offer as a potential bidder, or for informational purposes. The Offer Download contains information regarding released capacity on one or more contracts.</w:t>
      </w:r>
    </w:p>
    <w:p>
      <w:pPr>
        <w:pStyle w:val="BodyTextIndent"/>
        <w:numPr>
          <w:ilvl w:val="0"/>
          <w:numId w:val="2"/>
        </w:numPr>
        <w:tabs>
          <w:tab w:val="clear" w:pos="1800"/>
        </w:tabs>
        <w:ind w:hanging="0" w:start="0" w:end="0"/>
        <w:jc w:val="both"/>
        <w:rPr>
          <w:rFonts w:ascii="Garamond" w:hAnsi="Garamond" w:cs="Garamond"/>
        </w:rPr>
      </w:pPr>
      <w:r>
        <w:rPr>
          <w:rFonts w:cs="Garamond" w:ascii="Garamond" w:hAnsi="Garamond"/>
          <w:b/>
        </w:rPr>
        <w:t>Bid Download</w:t>
      </w:r>
      <w:r>
        <w:rPr>
          <w:rFonts w:cs="Garamond" w:ascii="Garamond" w:hAnsi="Garamond"/>
        </w:rPr>
        <w:t xml:space="preserve"> is a report from a transportation service provider to a data requester. Each Bid Download contains all of the information pertaining to a bid which has been received from potential replacement shippers in response to an offer to release capacity. There may be multiple bids (or no bids) received by the transportation service provider in response to an offer.</w:t>
      </w:r>
    </w:p>
    <w:p>
      <w:pPr>
        <w:pStyle w:val="BodyTextIndent"/>
        <w:numPr>
          <w:ilvl w:val="0"/>
          <w:numId w:val="2"/>
        </w:numPr>
        <w:tabs>
          <w:tab w:val="clear" w:pos="1800"/>
        </w:tabs>
        <w:ind w:hanging="0" w:start="0" w:end="0"/>
        <w:jc w:val="both"/>
        <w:rPr>
          <w:rFonts w:ascii="Garamond" w:hAnsi="Garamond" w:cs="Garamond"/>
        </w:rPr>
      </w:pPr>
      <w:r>
        <w:rPr>
          <w:rFonts w:cs="Garamond" w:ascii="Garamond" w:hAnsi="Garamond"/>
          <w:b/>
        </w:rPr>
        <w:t>Award Download</w:t>
      </w:r>
      <w:r>
        <w:rPr>
          <w:rFonts w:cs="Garamond" w:ascii="Garamond" w:hAnsi="Garamond"/>
        </w:rPr>
        <w:t xml:space="preserve"> is a report from a transportation service provider to a data requester. The Award Download contains data from the original offer and the winning bid. It also contains data on firm transportation or storage capacity which was awarded to the replacement shipper who submitted the winning bid. The Award Download contains all information pertaining to the terms of the deal as it was ultimately consummated. Not every offer will result in an award, but every award will correspond to an offer.</w:t>
      </w:r>
    </w:p>
    <w:p>
      <w:pPr>
        <w:pStyle w:val="BodyTextIndent"/>
        <w:numPr>
          <w:ilvl w:val="0"/>
          <w:numId w:val="2"/>
        </w:numPr>
        <w:tabs>
          <w:tab w:val="clear" w:pos="1800"/>
        </w:tabs>
        <w:ind w:hanging="0" w:start="0" w:end="0"/>
        <w:jc w:val="both"/>
        <w:rPr>
          <w:rFonts w:ascii="Garamond" w:hAnsi="Garamond" w:cs="Garamond"/>
        </w:rPr>
      </w:pPr>
      <w:r>
        <w:rPr>
          <w:rFonts w:cs="Garamond" w:ascii="Garamond" w:hAnsi="Garamond"/>
          <w:b/>
        </w:rPr>
        <w:t>Replacement Capacity</w:t>
      </w:r>
      <w:r>
        <w:rPr>
          <w:rFonts w:cs="Garamond" w:ascii="Garamond" w:hAnsi="Garamond"/>
        </w:rPr>
        <w:t xml:space="preserve"> data set is a report from a transportation service provider to a data requester. Replacement capacity currently applies to, and the data set is available from, only one interstate pipeline. Replacement capacity allows full requirements customers to release capacity at their location into a pool of available replacement capacity and enables a replacement shipper to substitute this replacement capacity from the available pool in the event the bidder desires to bid on a release but wants firm capacity at a point(s) different from that in the offer. When the award is made, the replacement shipper can replace firm capacity awarded at primary delivery points in the releasing shipper's offer with a point from the replacement capacity pool. This is in contrast to a typical release where the replacement shipper acquires firm capacity at the releasing shipper's point or points and would use secondary capacity to go to a different location.  As such the replacement capacity data set is similar in some respects to both the offer and the operationally available and unsubscribed capacity data sets. The data contained in the replacement capacity represents a subset of data contained in these data sets as well as data specific to replacement capacity.</w:t>
      </w:r>
    </w:p>
    <w:p>
      <w:pPr>
        <w:pStyle w:val="BodyTextIndent"/>
        <w:numPr>
          <w:ilvl w:val="0"/>
          <w:numId w:val="2"/>
        </w:numPr>
        <w:tabs>
          <w:tab w:val="clear" w:pos="1800"/>
        </w:tabs>
        <w:ind w:hanging="0" w:start="0" w:end="0"/>
        <w:jc w:val="both"/>
        <w:rPr>
          <w:rFonts w:ascii="Garamond" w:hAnsi="Garamond" w:cs="Garamond"/>
        </w:rPr>
      </w:pPr>
      <w:r>
        <w:rPr>
          <w:rFonts w:cs="Garamond" w:ascii="Garamond" w:hAnsi="Garamond"/>
          <w:b/>
        </w:rPr>
        <w:t>Withdrawal Download</w:t>
      </w:r>
      <w:r>
        <w:rPr>
          <w:rFonts w:cs="Garamond" w:ascii="Garamond" w:hAnsi="Garamond"/>
        </w:rPr>
        <w:t xml:space="preserve"> - The download of capacity withdrawals of offers, bids and awards is a report from the transportation provider to a data requester. The Withdrawal Download is used to communicate withdrawals of offers by the releasing shippers, withdrawals of bids by bidders, and withdrawals of awards by the transportation service provider. All Withdrawal Downloads must adhere to the applicable GISB standards.  All types of withdrawals are requested together, that is, withdrawals of offers cannot be requested separately from withdrawals of bids or awards. The withdrawal type indicator, which is present in all Withdrawal Downloads, communicates to the receiver what type of withdrawal it is.</w:t>
      </w:r>
    </w:p>
    <w:p>
      <w:pPr>
        <w:pStyle w:val="BodyTextIndent"/>
        <w:numPr>
          <w:ilvl w:val="0"/>
          <w:numId w:val="2"/>
        </w:numPr>
        <w:tabs>
          <w:tab w:val="clear" w:pos="1800"/>
        </w:tabs>
        <w:ind w:hanging="0" w:start="0" w:end="0"/>
        <w:jc w:val="both"/>
        <w:rPr>
          <w:rFonts w:ascii="Garamond" w:hAnsi="Garamond" w:cs="Garamond"/>
        </w:rPr>
      </w:pPr>
      <w:r>
        <w:rPr>
          <w:rFonts w:cs="Garamond" w:ascii="Garamond" w:hAnsi="Garamond"/>
          <w:b/>
        </w:rPr>
        <w:t xml:space="preserve">Withdrawal Upload - </w:t>
      </w:r>
      <w:r>
        <w:rPr>
          <w:rFonts w:cs="Garamond" w:ascii="Garamond" w:hAnsi="Garamond"/>
        </w:rPr>
        <w:t>The upload of withdrawals of offers and bids is sent by the withdrawing party, or their agent, to the transportation service provider. It is used to communicate the information necessary to identify the specific offer or bid being withdrawn. All Withdrawal Uploads must adhere to applicable GISB standards. The withdrawal type indicator, which is present in all Withdrawal Uploads, communicates to the receiver what type of withdrawal is being reported.  Uploads of withdrawals of offers include the offer number of the offer being withdrawn. Uploads of withdrawals of bids include the bid number of the bid being withdrawn, as well as the offer number that the bid was in response to. In this way, regardless of which type of withdrawal is being uploaded, the offer or bid being withdrawn, as well as any related documents, can be identified.</w:t>
      </w:r>
    </w:p>
    <w:p>
      <w:pPr>
        <w:pStyle w:val="BodyTextIndent"/>
        <w:numPr>
          <w:ilvl w:val="0"/>
          <w:numId w:val="2"/>
        </w:numPr>
        <w:tabs>
          <w:tab w:val="clear" w:pos="1800"/>
        </w:tabs>
        <w:ind w:hanging="0" w:start="0" w:end="0"/>
        <w:jc w:val="both"/>
        <w:rPr>
          <w:rFonts w:ascii="Garamond" w:hAnsi="Garamond" w:cs="Garamond"/>
        </w:rPr>
      </w:pPr>
      <w:r>
        <w:rPr>
          <w:rFonts w:cs="Garamond" w:ascii="Garamond" w:hAnsi="Garamond"/>
          <w:b/>
        </w:rPr>
        <w:t>Offer Upload</w:t>
      </w:r>
      <w:r>
        <w:rPr>
          <w:rFonts w:cs="Garamond" w:ascii="Garamond" w:hAnsi="Garamond"/>
        </w:rPr>
        <w:t xml:space="preserve"> document is sent from the releasing shipper (or its agent) to the transportation service provider. The Offer Upload enables a releasing shipper to communicate the terms of an offer that the shipper wishes to receive bids on, or an offer which already has a prearranged bid associated with it (i.e., a prearranged deal).  If the deal is not prearranged, the transaction contains all of the data necessary for the transportation service provider to post the offer information and allow potential replacement shippers to bid on the offered capacity. If the deal is prearranged, the transaction contains all of the data necessary to convey the terms of the offer and the terms of the prearranged bid to the transportation service provider.  Prearranged deals may also be biddable or non-biddable.</w:t>
      </w:r>
    </w:p>
    <w:p>
      <w:pPr>
        <w:pStyle w:val="BodyTextIndent"/>
        <w:numPr>
          <w:ilvl w:val="0"/>
          <w:numId w:val="2"/>
        </w:numPr>
        <w:tabs>
          <w:tab w:val="clear" w:pos="1800"/>
        </w:tabs>
        <w:ind w:hanging="0" w:start="0" w:end="0"/>
        <w:jc w:val="both"/>
        <w:rPr>
          <w:rFonts w:ascii="Garamond" w:hAnsi="Garamond" w:cs="Garamond"/>
        </w:rPr>
      </w:pPr>
      <w:r>
        <w:rPr>
          <w:rFonts w:cs="Garamond" w:ascii="Garamond" w:hAnsi="Garamond"/>
          <w:b/>
        </w:rPr>
        <w:t>Offer Upload Quick Response</w:t>
      </w:r>
      <w:r>
        <w:rPr>
          <w:rFonts w:cs="Garamond" w:ascii="Garamond" w:hAnsi="Garamond"/>
        </w:rPr>
        <w:t xml:space="preserve"> is sent from the transportation service provider to the return addressee (which is usually the shipper offering the capacity), as a direct response to the Offer Upload.  An Offer Upload Quick Response is sent in response to each Offer Upload, whether the Offer Upload contains prearranged bid information or not.</w:t>
      </w:r>
    </w:p>
    <w:p>
      <w:pPr>
        <w:pStyle w:val="BodyTextIndent"/>
        <w:numPr>
          <w:ilvl w:val="0"/>
          <w:numId w:val="2"/>
        </w:numPr>
        <w:tabs>
          <w:tab w:val="clear" w:pos="1800"/>
        </w:tabs>
        <w:ind w:hanging="0" w:start="0" w:end="0"/>
        <w:jc w:val="both"/>
        <w:rPr>
          <w:rFonts w:ascii="Garamond" w:hAnsi="Garamond" w:cs="Garamond"/>
        </w:rPr>
      </w:pPr>
      <w:r>
        <w:rPr>
          <w:rFonts w:cs="Garamond" w:ascii="Garamond" w:hAnsi="Garamond"/>
          <w:b/>
        </w:rPr>
        <w:t xml:space="preserve">Offer Upload Notification - </w:t>
      </w:r>
      <w:r>
        <w:rPr>
          <w:rFonts w:cs="Garamond" w:ascii="Garamond" w:hAnsi="Garamond"/>
        </w:rPr>
        <w:t>When an Offer Upload containing prearranged bid information has been successfully processed, the prearranged bidder initiates the confirmation process with the transportation service provider. The sending and receiving of the Offer Upload Notification, Offer Upload Bidder Confirmation, and Offer Upload Bidder Confirmation Quick Response are dependent upon the business practices of the transportation service provider, but in any case are only used when the offer is a prearranged deal.  The optional Offer Upload Notification may be sent by either the releasing shipper or the transportation service provider to the prearranged bidder to provide the terms of the prearranged deal that have been submitted on the prearranged bidder’s behalf. The document that the prearranged bidder receives is the Offer Upload Notification.</w:t>
      </w:r>
    </w:p>
    <w:p>
      <w:pPr>
        <w:pStyle w:val="BodyTextIndent"/>
        <w:numPr>
          <w:ilvl w:val="0"/>
          <w:numId w:val="2"/>
        </w:numPr>
        <w:tabs>
          <w:tab w:val="clear" w:pos="1800"/>
        </w:tabs>
        <w:ind w:hanging="0" w:start="0" w:end="0"/>
        <w:jc w:val="both"/>
        <w:rPr>
          <w:rFonts w:ascii="Garamond" w:hAnsi="Garamond" w:cs="Garamond"/>
        </w:rPr>
      </w:pPr>
      <w:r>
        <w:rPr>
          <w:rFonts w:cs="Garamond" w:ascii="Garamond" w:hAnsi="Garamond"/>
          <w:b/>
        </w:rPr>
        <w:t>Offer Upload Bidder Confirmation</w:t>
      </w:r>
      <w:r>
        <w:rPr>
          <w:rFonts w:cs="Garamond" w:ascii="Garamond" w:hAnsi="Garamond"/>
        </w:rPr>
        <w:t xml:space="preserve"> is sent from the prearranged bidder to the return addressee (the transportation service provider) in response to the Offer Upload Notification. As previously noted, the sending and receiving of the Offer Upload Notification, Offer Upload Bidder Confirmation, and Offer Upload Bidder Confirmation Quick Response are dependent upon the business practices of the transportation service provider, but in any case are only used when the offer is a prearranged deal. The Offer Upload Notification explained the details of the release to the confirming party, which is the prearranged bidder. The Offer Upload Bidder Confirmation informs the transportation service provider whether or not the prearranged bidder agrees to the terms that have been submitted on behalf of the prearranged bidder. The prearranged bidder may accept or decline the bid in the confirmation.</w:t>
      </w:r>
    </w:p>
    <w:p>
      <w:pPr>
        <w:pStyle w:val="BodyTextIndent"/>
        <w:numPr>
          <w:ilvl w:val="0"/>
          <w:numId w:val="2"/>
        </w:numPr>
        <w:tabs>
          <w:tab w:val="clear" w:pos="1800"/>
        </w:tabs>
        <w:ind w:hanging="0" w:start="0" w:end="0"/>
        <w:jc w:val="both"/>
        <w:rPr>
          <w:rFonts w:ascii="Garamond" w:hAnsi="Garamond" w:cs="Garamond"/>
        </w:rPr>
      </w:pPr>
      <w:r>
        <w:rPr>
          <w:rFonts w:cs="Garamond" w:ascii="Garamond" w:hAnsi="Garamond"/>
          <w:b/>
        </w:rPr>
        <w:t>Offer Upload Bidder Confirmation Quick Response</w:t>
      </w:r>
      <w:r>
        <w:rPr>
          <w:rFonts w:cs="Garamond" w:ascii="Garamond" w:hAnsi="Garamond"/>
        </w:rPr>
        <w:t xml:space="preserve"> is sent from the transportation service provider to the return addressee in response to the Offer Upload Bidder Confirmation. As previously noted, the sending and receiving of the Offer Upload Notification, Offer Upload Bidder Confirmation, and Offer Upload Bidder Confirmation Quick Response are dependent upon the business practices of the transportation service provider, but in any case are only used when the offer is a prearranged deal. The Offer Upload Bidder Confirmation informed the transportation service provider that the prearranged bidder was or was not agreeable to the terms of the prearranged release. The Offer Upload Bidder Confirmation Quick Response responds to the prearranged bidder that the Offer Upload Bidder Confirmation was either valid or contained errors/warnings. This quick response is necessary because the Offer Upload Notification may have originated from a party other than the transportation service provider, and the information relayed to the prearranged bidder may not match the information that the transportation service provider  received in the Offer Upload.</w:t>
      </w:r>
    </w:p>
    <w:p>
      <w:pPr>
        <w:pStyle w:val="BodyTextIndent"/>
        <w:numPr>
          <w:ilvl w:val="0"/>
          <w:numId w:val="2"/>
        </w:numPr>
        <w:tabs>
          <w:tab w:val="clear" w:pos="1800"/>
        </w:tabs>
        <w:ind w:hanging="0" w:start="0" w:end="0"/>
        <w:jc w:val="both"/>
        <w:rPr>
          <w:rFonts w:ascii="Garamond" w:hAnsi="Garamond" w:cs="Garamond"/>
        </w:rPr>
      </w:pPr>
      <w:r>
        <w:rPr>
          <w:rFonts w:cs="Garamond" w:ascii="Garamond" w:hAnsi="Garamond"/>
          <w:b/>
        </w:rPr>
        <w:t xml:space="preserve">Offer Upload Final Disposition </w:t>
      </w:r>
      <w:r>
        <w:rPr>
          <w:rFonts w:cs="Garamond" w:ascii="Garamond" w:hAnsi="Garamond"/>
        </w:rPr>
        <w:t>is used to inform parties that the prearranged or non-prearranged deal has been completely processed through the cycle. The Offer Upload Final Disposition is sent by the transportation service provider to the following parties:  1) the releasing shipper that submitted the Offer Upload; 2) the prearranged bidder identified in the Offer Upload; and, 3) the winning bidder that submitted the Bid Upload.  The deal may or may not have resulted in a contract. The Offer Upload Final Disposition is only used when the offer is a prearranged deal. The Offer Upload Final Disposition tells the releasing shipper if the deal was awarded, if it was awarded to the prearranged bidder or a non-prearranged bidder, or if it was not awarded and the reason why. The Offer Upload Final Disposition tells the prearranged bidder the status of the deal and, if the prearranged bidder was awarded the capacity and is now the replacement shipper, informs the replacement shipper of the new contract number under which the replacement shipper may transact business.</w:t>
      </w:r>
    </w:p>
    <w:p>
      <w:pPr>
        <w:pStyle w:val="BodyTextIndent"/>
        <w:numPr>
          <w:ilvl w:val="0"/>
          <w:numId w:val="2"/>
        </w:numPr>
        <w:tabs>
          <w:tab w:val="clear" w:pos="1800"/>
        </w:tabs>
        <w:ind w:hanging="0" w:start="0" w:end="0"/>
        <w:jc w:val="both"/>
        <w:rPr>
          <w:rFonts w:ascii="Garamond" w:hAnsi="Garamond" w:cs="Garamond"/>
        </w:rPr>
      </w:pPr>
      <w:r>
        <w:rPr>
          <w:rFonts w:cs="Garamond" w:ascii="Garamond" w:hAnsi="Garamond"/>
          <w:b/>
        </w:rPr>
        <w:t>Note/Special Instruction</w:t>
      </w:r>
      <w:r>
        <w:rPr>
          <w:rFonts w:cs="Garamond" w:ascii="Garamond" w:hAnsi="Garamond"/>
        </w:rPr>
        <w:t xml:space="preserve"> document is a separate document used to communicate text messages associated with other capacity release transaction sets. The Note/Special Instruction document is not a discrete transaction; it is always associated with one of the other capacity release transactions.  Thus, Note/Special Instruction documents cannot be separately requested.  Note/Special Instructions may be associated with the following transactions: Offer Download, Bid Download, Award Download, Operationally Available and Unsubscribed Capacity, Offer Upload, Offer Upload Notification, Bid Upload and Replacement Capacity. These transactions may have no notes, or may have multiple notes associated with them, but each note will be associated with one, and only one, other transaction.</w:t>
      </w:r>
    </w:p>
    <w:p>
      <w:pPr>
        <w:pStyle w:val="BodyTextIndent"/>
        <w:numPr>
          <w:ilvl w:val="0"/>
          <w:numId w:val="2"/>
        </w:numPr>
        <w:tabs>
          <w:tab w:val="clear" w:pos="1800"/>
        </w:tabs>
        <w:ind w:hanging="0" w:start="0" w:end="0"/>
        <w:jc w:val="both"/>
        <w:rPr>
          <w:rFonts w:ascii="Garamond" w:hAnsi="Garamond" w:cs="Garamond"/>
        </w:rPr>
      </w:pPr>
      <w:r>
        <w:rPr>
          <w:rFonts w:cs="Garamond" w:ascii="Garamond" w:hAnsi="Garamond"/>
          <w:b/>
        </w:rPr>
        <w:t>Bid Upload</w:t>
      </w:r>
      <w:r>
        <w:rPr>
          <w:rFonts w:cs="Garamond" w:ascii="Garamond" w:hAnsi="Garamond"/>
        </w:rPr>
        <w:t xml:space="preserve"> document is sent from potential replacement shippers (or their agents) to the transportation service provider.  The Bid Upload enables a shipper wishing to bid on offered capacity the ability to communicate the terms of the bid. Bids may be submitted on all biddable offers, including those which are prearranged deals.</w:t>
      </w:r>
    </w:p>
    <w:p>
      <w:pPr>
        <w:pStyle w:val="BodyTextIndent"/>
        <w:numPr>
          <w:ilvl w:val="0"/>
          <w:numId w:val="2"/>
        </w:numPr>
        <w:tabs>
          <w:tab w:val="clear" w:pos="1800"/>
        </w:tabs>
        <w:ind w:hanging="0" w:start="0" w:end="0"/>
        <w:jc w:val="both"/>
        <w:rPr>
          <w:rFonts w:ascii="Garamond" w:hAnsi="Garamond" w:cs="Garamond"/>
        </w:rPr>
      </w:pPr>
      <w:r>
        <w:rPr>
          <w:rFonts w:cs="Garamond" w:ascii="Garamond" w:hAnsi="Garamond"/>
          <w:b/>
        </w:rPr>
        <w:t>Bid Upload Quick Response</w:t>
      </w:r>
      <w:r>
        <w:rPr>
          <w:rFonts w:cs="Garamond" w:ascii="Garamond" w:hAnsi="Garamond"/>
        </w:rPr>
        <w:t xml:space="preserve"> is sent from the transportation service provider to the return addressee (which is usually the bidder bidding on the offered capacity), as a direct response to the Bid Upload. One quick response transaction is sent in response to each Bid Upload.</w:t>
      </w:r>
    </w:p>
    <w:p>
      <w:pPr>
        <w:pStyle w:val="BodyTextIndent"/>
        <w:tabs>
          <w:tab w:val="clear" w:pos="1800"/>
        </w:tabs>
        <w:jc w:val="both"/>
        <w:rPr>
          <w:rFonts w:ascii="Garamond" w:hAnsi="Garamond" w:cs="Garamond"/>
        </w:rPr>
      </w:pPr>
      <w:r>
        <w:rPr>
          <w:rFonts w:cs="Garamond" w:ascii="Garamond" w:hAnsi="Garamond"/>
        </w:rPr>
      </w:r>
    </w:p>
    <w:sectPr>
      <w:type w:val="nextPage"/>
      <w:pgSz w:w="12240" w:h="15840"/>
      <w:pgMar w:left="1440" w:right="1440" w:gutter="0" w:header="0" w:top="288" w:footer="0" w:bottom="2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b/>
      </w:rPr>
    </w:lvl>
  </w:abstractNum>
  <w:abstractNum w:abstractNumId="2">
    <w:lvl w:ilvl="0">
      <w:start w:val="1"/>
      <w:numFmt w:val="decimal"/>
      <w:lvlText w:val="%1.)"/>
      <w:lvlJc w:val="start"/>
      <w:pPr>
        <w:tabs>
          <w:tab w:val="num" w:pos="1080"/>
        </w:tabs>
        <w:ind w:start="1080" w:hanging="360"/>
      </w:pPr>
      <w:rPr>
        <w:b/>
      </w:r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08" w:hanging="288"/>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s>
      <w:jc w:val="both"/>
    </w:pPr>
    <w:rPr>
      <w:rFonts w:ascii="Garamond" w:hAnsi="Garamond" w:cs="Garamond"/>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800" w:leader="none"/>
      </w:tabs>
      <w:ind w:hanging="1800" w:start="180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720" w:leader="none"/>
      </w:tabs>
      <w:ind w:hanging="0" w:start="-720" w:end="0"/>
      <w:jc w:val="both"/>
    </w:pPr>
    <w:rPr>
      <w:rFonts w:ascii="Garamond" w:hAnsi="Garamond" w:cs="Garamond"/>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2000-07-12T19:51:00Z</dcterms:created>
  <dc:creator>Donna Corrigan Greif</dc:creator>
  <dc:description/>
  <dc:language>en-CA</dc:language>
  <cp:lastModifiedBy>Donna Corrigan Greif</cp:lastModifiedBy>
  <cp:lastPrinted>2000-07-13T09:27:00Z</cp:lastPrinted>
  <dcterms:modified xsi:type="dcterms:W3CDTF">2000-07-13T18:59:00Z</dcterms:modified>
  <cp:revision>5</cp:revision>
  <dc:subject/>
  <dc:title>Concept 1:</dc:title>
</cp:coreProperties>
</file>