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ject"/>
        <w:jc w:val="both"/>
        <w:rPr>
          <w:rFonts w:ascii="Times New Roman" w:hAnsi="Times New Roman" w:cs="Times New Roman"/>
          <w:sz w:val="24"/>
        </w:rPr>
      </w:pPr>
      <w:r>
        <w:rPr>
          <w:rFonts w:cs="Times New Roman" w:ascii="Times New Roman" w:hAnsi="Times New Roman"/>
          <w:sz w:val="24"/>
        </w:rPr>
      </w:r>
    </w:p>
    <w:p>
      <w:pPr>
        <w:pStyle w:val="Subject"/>
        <w:tabs>
          <w:tab w:val="clear" w:pos="720"/>
          <w:tab w:val="left" w:pos="540" w:leader="none"/>
          <w:tab w:val="left" w:pos="3510" w:leader="none"/>
          <w:tab w:val="right" w:pos="6120" w:leader="none"/>
          <w:tab w:val="right" w:pos="9360" w:leader="none"/>
        </w:tabs>
        <w:rPr/>
      </w:pPr>
      <w:r>
        <w:rPr/>
        <w:drawing>
          <wp:inline distT="0" distB="0" distL="0" distR="0">
            <wp:extent cx="1002030" cy="95059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02030" cy="950595"/>
                    </a:xfrm>
                    <a:prstGeom prst="rect">
                      <a:avLst/>
                    </a:prstGeom>
                    <a:noFill/>
                  </pic:spPr>
                </pic:pic>
              </a:graphicData>
            </a:graphic>
          </wp:inline>
        </w:drawing>
      </w:r>
    </w:p>
    <w:p>
      <w:pPr>
        <w:pStyle w:val="Normal"/>
        <w:tabs>
          <w:tab w:val="clear" w:pos="720"/>
          <w:tab w:val="left" w:pos="5760" w:leader="none"/>
        </w:tabs>
        <w:ind w:start="3600" w:end="0"/>
        <w:rPr>
          <w:b/>
          <w:sz w:val="32"/>
        </w:rPr>
      </w:pPr>
      <w:r>
        <w:rPr>
          <w:b/>
          <w:sz w:val="32"/>
        </w:rPr>
        <w:tab/>
      </w:r>
    </w:p>
    <w:p>
      <w:pPr>
        <w:pStyle w:val="Normal"/>
        <w:tabs>
          <w:tab w:val="clear" w:pos="720"/>
          <w:tab w:val="left" w:pos="5760" w:leader="none"/>
        </w:tabs>
        <w:ind w:start="3600" w:end="0"/>
        <w:rPr>
          <w:b/>
          <w:sz w:val="32"/>
        </w:rPr>
      </w:pPr>
      <w:r>
        <w:rPr>
          <w:b/>
          <w:sz w:val="32"/>
        </w:rPr>
        <w:tab/>
        <w:t>Memorandum</w:t>
      </w:r>
    </w:p>
    <w:p>
      <w:pPr>
        <w:pStyle w:val="Normal"/>
        <w:rPr>
          <w:b/>
          <w:sz w:val="32"/>
        </w:rPr>
      </w:pPr>
      <w:r>
        <w:rPr>
          <w:b/>
          <w:sz w:val="32"/>
        </w:rPr>
      </w:r>
    </w:p>
    <w:p>
      <w:pPr>
        <w:pStyle w:val="Heading"/>
        <w:ind w:end="-990"/>
        <w:rPr>
          <w:rFonts w:ascii="CG Times (W1);Times New Roman" w:hAnsi="CG Times (W1);Times New Roman" w:cs="CG Times (W1);Times New Roman"/>
        </w:rPr>
      </w:pPr>
      <w:r>
        <w:rPr>
          <w:rFonts w:cs="CG Times (W1);Times New Roman" w:ascii="CG Times (W1);Times New Roman" w:hAnsi="CG Times (W1);Times New Roman"/>
        </w:rPr>
      </w:r>
    </w:p>
    <w:tbl>
      <w:tblPr>
        <w:tblW w:w="8907" w:type="dxa"/>
        <w:jc w:val="start"/>
        <w:tblInd w:w="198" w:type="dxa"/>
        <w:tblLayout w:type="fixed"/>
        <w:tblCellMar>
          <w:top w:w="0" w:type="dxa"/>
          <w:start w:w="108" w:type="dxa"/>
          <w:bottom w:w="0" w:type="dxa"/>
          <w:end w:w="108" w:type="dxa"/>
        </w:tblCellMar>
      </w:tblPr>
      <w:tblGrid>
        <w:gridCol w:w="1170"/>
        <w:gridCol w:w="3510"/>
        <w:gridCol w:w="2134"/>
        <w:gridCol w:w="2093"/>
      </w:tblGrid>
      <w:tr>
        <w:trPr/>
        <w:tc>
          <w:tcPr>
            <w:tcW w:w="1170" w:type="dxa"/>
            <w:tcBorders/>
          </w:tcPr>
          <w:p>
            <w:pPr>
              <w:pStyle w:val="Heading"/>
              <w:ind w:end="-990"/>
              <w:rPr>
                <w:rFonts w:ascii="Times New Roman" w:hAnsi="Times New Roman" w:cs="Times New Roman"/>
              </w:rPr>
            </w:pPr>
            <w:r>
              <w:rPr>
                <w:rFonts w:cs="Times New Roman" w:ascii="Times New Roman" w:hAnsi="Times New Roman"/>
              </w:rPr>
              <w:t>To:</w:t>
            </w:r>
          </w:p>
        </w:tc>
        <w:tc>
          <w:tcPr>
            <w:tcW w:w="3510" w:type="dxa"/>
            <w:tcBorders/>
          </w:tcPr>
          <w:p>
            <w:pPr>
              <w:pStyle w:val="Heading"/>
              <w:ind w:end="-990"/>
              <w:rPr>
                <w:rFonts w:ascii="Times New Roman" w:hAnsi="Times New Roman" w:cs="Times New Roman"/>
                <w:b w:val="false"/>
              </w:rPr>
            </w:pPr>
            <w:r>
              <w:rPr>
                <w:rFonts w:cs="Times New Roman" w:ascii="Times New Roman" w:hAnsi="Times New Roman"/>
                <w:b w:val="false"/>
              </w:rPr>
              <w:t>Susan Scott</w:t>
            </w:r>
          </w:p>
          <w:p>
            <w:pPr>
              <w:pStyle w:val="Heading"/>
              <w:ind w:end="-990"/>
              <w:rPr>
                <w:rFonts w:ascii="Times New Roman" w:hAnsi="Times New Roman" w:cs="Times New Roman"/>
                <w:b w:val="false"/>
              </w:rPr>
            </w:pPr>
            <w:r>
              <w:rPr>
                <w:rFonts w:cs="Times New Roman" w:ascii="Times New Roman" w:hAnsi="Times New Roman"/>
                <w:b w:val="false"/>
              </w:rPr>
              <w:t>Shelley Corman</w:t>
            </w:r>
          </w:p>
          <w:p>
            <w:pPr>
              <w:pStyle w:val="Heading"/>
              <w:ind w:end="-990"/>
              <w:rPr>
                <w:rFonts w:ascii="Times New Roman" w:hAnsi="Times New Roman" w:cs="Times New Roman"/>
                <w:b w:val="false"/>
              </w:rPr>
            </w:pPr>
            <w:r>
              <w:rPr>
                <w:rFonts w:cs="Times New Roman" w:ascii="Times New Roman" w:hAnsi="Times New Roman"/>
                <w:b w:val="false"/>
              </w:rPr>
              <w:t>Frazier King</w:t>
            </w:r>
          </w:p>
          <w:p>
            <w:pPr>
              <w:pStyle w:val="Heading"/>
              <w:ind w:end="-990"/>
              <w:rPr>
                <w:rFonts w:ascii="Times New Roman" w:hAnsi="Times New Roman" w:cs="Times New Roman"/>
                <w:b w:val="false"/>
              </w:rPr>
            </w:pPr>
            <w:r>
              <w:rPr>
                <w:rFonts w:cs="Times New Roman" w:ascii="Times New Roman" w:hAnsi="Times New Roman"/>
                <w:b w:val="false"/>
              </w:rPr>
            </w:r>
          </w:p>
        </w:tc>
        <w:tc>
          <w:tcPr>
            <w:tcW w:w="2134" w:type="dxa"/>
            <w:tcBorders/>
          </w:tcPr>
          <w:p>
            <w:pPr>
              <w:pStyle w:val="Heading"/>
              <w:tabs>
                <w:tab w:val="clear" w:pos="720"/>
                <w:tab w:val="right" w:pos="1602" w:leader="none"/>
              </w:tabs>
              <w:ind w:end="-990"/>
              <w:rPr>
                <w:rFonts w:ascii="Times New Roman" w:hAnsi="Times New Roman" w:cs="Times New Roman"/>
              </w:rPr>
            </w:pPr>
            <w:r>
              <w:rPr>
                <w:rFonts w:cs="Times New Roman" w:ascii="Times New Roman" w:hAnsi="Times New Roman"/>
              </w:rPr>
              <w:tab/>
              <w:t>Department:</w:t>
            </w:r>
          </w:p>
        </w:tc>
        <w:tc>
          <w:tcPr>
            <w:tcW w:w="2093" w:type="dxa"/>
            <w:tcBorders/>
          </w:tcPr>
          <w:p>
            <w:pPr>
              <w:pStyle w:val="Heading"/>
              <w:tabs>
                <w:tab w:val="clear" w:pos="720"/>
                <w:tab w:val="right" w:pos="1512" w:leader="none"/>
              </w:tabs>
              <w:ind w:end="-990"/>
              <w:rPr>
                <w:rFonts w:ascii="Times New Roman" w:hAnsi="Times New Roman" w:cs="Times New Roman"/>
                <w:b w:val="false"/>
              </w:rPr>
            </w:pPr>
            <w:r>
              <w:rPr>
                <w:rFonts w:cs="Times New Roman" w:ascii="Times New Roman" w:hAnsi="Times New Roman"/>
                <w:b w:val="false"/>
              </w:rPr>
              <w:tab/>
              <w:t>GPG Law</w:t>
            </w:r>
          </w:p>
          <w:p>
            <w:pPr>
              <w:pStyle w:val="Heading"/>
              <w:ind w:end="-990"/>
              <w:rPr>
                <w:rFonts w:ascii="Times New Roman" w:hAnsi="Times New Roman" w:cs="Times New Roman"/>
                <w:b w:val="false"/>
              </w:rPr>
            </w:pPr>
            <w:r>
              <w:rPr>
                <w:rFonts w:cs="Times New Roman" w:ascii="Times New Roman" w:hAnsi="Times New Roman"/>
                <w:b w:val="false"/>
              </w:rPr>
            </w:r>
          </w:p>
        </w:tc>
      </w:tr>
      <w:tr>
        <w:trPr/>
        <w:tc>
          <w:tcPr>
            <w:tcW w:w="1170" w:type="dxa"/>
            <w:tcBorders/>
          </w:tcPr>
          <w:p>
            <w:pPr>
              <w:pStyle w:val="Heading"/>
              <w:ind w:end="-990"/>
              <w:rPr>
                <w:rFonts w:ascii="Times New Roman" w:hAnsi="Times New Roman" w:cs="Times New Roman"/>
              </w:rPr>
            </w:pPr>
            <w:r>
              <w:rPr>
                <w:rFonts w:cs="Times New Roman" w:ascii="Times New Roman" w:hAnsi="Times New Roman"/>
              </w:rPr>
              <w:t>From:</w:t>
            </w:r>
          </w:p>
          <w:p>
            <w:pPr>
              <w:pStyle w:val="Heading"/>
              <w:ind w:end="-990"/>
              <w:rPr>
                <w:rFonts w:ascii="Times New Roman" w:hAnsi="Times New Roman" w:cs="Times New Roman"/>
              </w:rPr>
            </w:pPr>
            <w:r>
              <w:rPr>
                <w:rFonts w:cs="Times New Roman" w:ascii="Times New Roman" w:hAnsi="Times New Roman"/>
              </w:rPr>
            </w:r>
          </w:p>
        </w:tc>
        <w:tc>
          <w:tcPr>
            <w:tcW w:w="3510" w:type="dxa"/>
            <w:tcBorders/>
          </w:tcPr>
          <w:p>
            <w:pPr>
              <w:pStyle w:val="Heading"/>
              <w:ind w:end="-990"/>
              <w:rPr>
                <w:rFonts w:ascii="Times New Roman" w:hAnsi="Times New Roman" w:cs="Times New Roman"/>
                <w:b w:val="false"/>
              </w:rPr>
            </w:pPr>
            <w:r>
              <w:rPr>
                <w:rFonts w:cs="Times New Roman" w:ascii="Times New Roman" w:hAnsi="Times New Roman"/>
                <w:b w:val="false"/>
              </w:rPr>
              <w:t xml:space="preserve">Brian Hensley </w:t>
            </w:r>
          </w:p>
        </w:tc>
        <w:tc>
          <w:tcPr>
            <w:tcW w:w="2134" w:type="dxa"/>
            <w:tcBorders/>
          </w:tcPr>
          <w:p>
            <w:pPr>
              <w:pStyle w:val="Heading"/>
              <w:tabs>
                <w:tab w:val="clear" w:pos="720"/>
                <w:tab w:val="right" w:pos="1602" w:leader="none"/>
              </w:tabs>
              <w:snapToGrid w:val="false"/>
              <w:ind w:end="-990"/>
              <w:rPr>
                <w:rFonts w:ascii="Times New Roman" w:hAnsi="Times New Roman" w:cs="Times New Roman"/>
                <w:b w:val="false"/>
              </w:rPr>
            </w:pPr>
            <w:r>
              <w:rPr>
                <w:rFonts w:cs="Times New Roman" w:ascii="Times New Roman" w:hAnsi="Times New Roman"/>
                <w:b w:val="false"/>
              </w:rPr>
            </w:r>
          </w:p>
        </w:tc>
        <w:tc>
          <w:tcPr>
            <w:tcW w:w="2093" w:type="dxa"/>
            <w:tcBorders/>
          </w:tcPr>
          <w:p>
            <w:pPr>
              <w:pStyle w:val="Heading"/>
              <w:snapToGrid w:val="false"/>
              <w:ind w:end="-990"/>
              <w:rPr>
                <w:rFonts w:ascii="Times New Roman" w:hAnsi="Times New Roman" w:cs="Times New Roman"/>
                <w:b w:val="false"/>
              </w:rPr>
            </w:pPr>
            <w:r>
              <w:rPr>
                <w:rFonts w:cs="Times New Roman" w:ascii="Times New Roman" w:hAnsi="Times New Roman"/>
                <w:b w:val="false"/>
              </w:rPr>
            </w:r>
          </w:p>
        </w:tc>
      </w:tr>
      <w:tr>
        <w:trPr/>
        <w:tc>
          <w:tcPr>
            <w:tcW w:w="1170" w:type="dxa"/>
            <w:tcBorders/>
          </w:tcPr>
          <w:p>
            <w:pPr>
              <w:pStyle w:val="Heading"/>
              <w:ind w:end="-990"/>
              <w:rPr>
                <w:rFonts w:ascii="Times New Roman" w:hAnsi="Times New Roman" w:cs="Times New Roman"/>
              </w:rPr>
            </w:pPr>
            <w:r>
              <w:rPr>
                <w:rFonts w:cs="Times New Roman" w:ascii="Times New Roman" w:hAnsi="Times New Roman"/>
              </w:rPr>
              <w:t>Subject</w:t>
            </w:r>
          </w:p>
        </w:tc>
        <w:tc>
          <w:tcPr>
            <w:tcW w:w="3510" w:type="dxa"/>
            <w:tcBorders/>
          </w:tcPr>
          <w:p>
            <w:pPr>
              <w:pStyle w:val="Heading"/>
              <w:ind w:end="-990"/>
              <w:rPr>
                <w:rFonts w:ascii="Times New Roman" w:hAnsi="Times New Roman" w:cs="Times New Roman"/>
                <w:b w:val="false"/>
              </w:rPr>
            </w:pPr>
            <w:r>
              <w:rPr>
                <w:rFonts w:cs="Times New Roman" w:ascii="Times New Roman" w:hAnsi="Times New Roman"/>
                <w:b w:val="false"/>
              </w:rPr>
              <w:t>Capacity Options</w:t>
            </w:r>
          </w:p>
        </w:tc>
        <w:tc>
          <w:tcPr>
            <w:tcW w:w="2134" w:type="dxa"/>
            <w:tcBorders/>
          </w:tcPr>
          <w:p>
            <w:pPr>
              <w:pStyle w:val="Heading"/>
              <w:tabs>
                <w:tab w:val="clear" w:pos="720"/>
                <w:tab w:val="right" w:pos="1602" w:leader="none"/>
              </w:tabs>
              <w:ind w:end="-990"/>
              <w:rPr>
                <w:rFonts w:ascii="Times New Roman" w:hAnsi="Times New Roman" w:cs="Times New Roman"/>
              </w:rPr>
            </w:pPr>
            <w:r>
              <w:rPr>
                <w:rFonts w:cs="Times New Roman" w:ascii="Times New Roman" w:hAnsi="Times New Roman"/>
              </w:rPr>
              <w:tab/>
              <w:t>Date:</w:t>
            </w:r>
          </w:p>
        </w:tc>
        <w:tc>
          <w:tcPr>
            <w:tcW w:w="2093" w:type="dxa"/>
            <w:tcBorders/>
          </w:tcPr>
          <w:p>
            <w:pPr>
              <w:pStyle w:val="Heading"/>
              <w:tabs>
                <w:tab w:val="clear" w:pos="720"/>
                <w:tab w:val="right" w:pos="1538" w:leader="none"/>
              </w:tabs>
              <w:ind w:end="-990"/>
              <w:rPr>
                <w:rFonts w:ascii="Times New Roman" w:hAnsi="Times New Roman" w:cs="Times New Roman"/>
                <w:b w:val="false"/>
              </w:rPr>
            </w:pPr>
            <w:r>
              <w:rPr>
                <w:rFonts w:cs="Times New Roman" w:ascii="Times New Roman" w:hAnsi="Times New Roman"/>
                <w:b w:val="false"/>
              </w:rPr>
              <w:tab/>
            </w:r>
            <w:r>
              <w:rPr>
                <w:rFonts w:cs="Times New Roman" w:ascii="Times New Roman" w:hAnsi="Times New Roman"/>
                <w:b w:val="false"/>
              </w:rPr>
              <w:fldChar w:fldCharType="begin"/>
            </w:r>
            <w:r>
              <w:rPr>
                <w:b w:val="false"/>
                <w:rFonts w:cs="Times New Roman" w:ascii="Times New Roman" w:hAnsi="Times New Roman"/>
              </w:rPr>
              <w:instrText xml:space="preserve"> DATE \@"MMMM\ d', 'yyyy" </w:instrText>
            </w:r>
            <w:r>
              <w:rPr>
                <w:b w:val="false"/>
                <w:rFonts w:cs="Times New Roman" w:ascii="Times New Roman" w:hAnsi="Times New Roman"/>
              </w:rPr>
              <w:fldChar w:fldCharType="separate"/>
            </w:r>
            <w:r>
              <w:rPr>
                <w:b w:val="false"/>
                <w:rFonts w:cs="Times New Roman" w:ascii="Times New Roman" w:hAnsi="Times New Roman"/>
              </w:rPr>
              <w:t>September 28, 2025</w:t>
            </w:r>
            <w:r>
              <w:rPr>
                <w:b w:val="false"/>
                <w:rFonts w:cs="Times New Roman" w:ascii="Times New Roman" w:hAnsi="Times New Roman"/>
              </w:rPr>
              <w:fldChar w:fldCharType="end"/>
            </w:r>
          </w:p>
        </w:tc>
      </w:tr>
    </w:tbl>
    <w:p>
      <w:pPr>
        <w:pStyle w:val="Subject"/>
        <w:pBdr>
          <w:bottom w:val="single" w:sz="12" w:space="1" w:color="000000"/>
        </w:pBdr>
        <w:rPr>
          <w:rFonts w:ascii="Times New Roman" w:hAnsi="Times New Roman" w:cs="Times New Roman"/>
          <w:sz w:val="24"/>
        </w:rPr>
      </w:pPr>
      <w:r>
        <w:rPr>
          <w:rFonts w:cs="Times New Roman" w:ascii="Times New Roman" w:hAnsi="Times New Roman"/>
          <w:sz w:val="24"/>
        </w:rPr>
      </w:r>
    </w:p>
    <w:p>
      <w:pPr>
        <w:pStyle w:val="Subject"/>
        <w:ind w:firstLine="720" w:end="0"/>
        <w:jc w:val="both"/>
        <w:rPr>
          <w:rFonts w:ascii="Times New Roman" w:hAnsi="Times New Roman" w:cs="Times New Roman"/>
          <w:sz w:val="24"/>
        </w:rPr>
      </w:pPr>
      <w:r>
        <w:rPr>
          <w:rFonts w:cs="Times New Roman" w:ascii="Times New Roman" w:hAnsi="Times New Roman"/>
          <w:sz w:val="24"/>
        </w:rPr>
      </w:r>
    </w:p>
    <w:p>
      <w:pPr>
        <w:pStyle w:val="Subject"/>
        <w:ind w:firstLine="720" w:end="0"/>
        <w:jc w:val="both"/>
        <w:rPr>
          <w:rFonts w:ascii="Times New Roman" w:hAnsi="Times New Roman" w:cs="Times New Roman"/>
          <w:sz w:val="24"/>
        </w:rPr>
      </w:pPr>
      <w:r>
        <w:rPr>
          <w:rFonts w:cs="Times New Roman" w:ascii="Times New Roman" w:hAnsi="Times New Roman"/>
          <w:sz w:val="24"/>
        </w:rPr>
        <w:t>This memo is intended to summarize the results of my research regarding the Commodities Futures Trading Commission’s (“CFTC”) regulation of options for pipeline capacity. More specifically, the memo will briefly discuss Transwestern Pipeline Company’s (“Transwestern”) current exemption from CFTC regulation, the ramifications of Transwestern offering an option for pipeline capacity to a financial institution rather than an industrial user, and the regulatory burden Transwestern would face if it lost it’s exempted status.</w:t>
      </w:r>
    </w:p>
    <w:p>
      <w:pPr>
        <w:pStyle w:val="Subject"/>
        <w:ind w:firstLine="720" w:end="0"/>
        <w:jc w:val="both"/>
        <w:rPr>
          <w:rFonts w:ascii="Times New Roman" w:hAnsi="Times New Roman" w:cs="Times New Roman"/>
          <w:b/>
          <w:sz w:val="24"/>
        </w:rPr>
      </w:pPr>
      <w:r>
        <w:rPr>
          <w:rFonts w:cs="Times New Roman" w:ascii="Times New Roman" w:hAnsi="Times New Roman"/>
          <w:b/>
          <w:sz w:val="24"/>
        </w:rPr>
      </w:r>
    </w:p>
    <w:p>
      <w:pPr>
        <w:pStyle w:val="Subject"/>
        <w:jc w:val="both"/>
        <w:rPr>
          <w:rFonts w:ascii="Times New Roman" w:hAnsi="Times New Roman" w:cs="Times New Roman"/>
          <w:b/>
          <w:sz w:val="24"/>
          <w:u w:val="single"/>
        </w:rPr>
      </w:pPr>
      <w:r>
        <w:rPr>
          <w:rFonts w:cs="Times New Roman" w:ascii="Times New Roman" w:hAnsi="Times New Roman"/>
          <w:b/>
          <w:sz w:val="24"/>
          <w:u w:val="single"/>
        </w:rPr>
        <w:t>Commodity Exchange Act (CEA)</w:t>
      </w:r>
    </w:p>
    <w:p>
      <w:pPr>
        <w:pStyle w:val="Subject"/>
        <w:ind w:start="720" w:end="0"/>
        <w:jc w:val="both"/>
        <w:rPr>
          <w:rFonts w:ascii="Times New Roman" w:hAnsi="Times New Roman" w:cs="Times New Roman"/>
          <w:b/>
          <w:sz w:val="24"/>
          <w:u w:val="single"/>
        </w:rPr>
      </w:pPr>
      <w:r>
        <w:rPr>
          <w:rFonts w:cs="Times New Roman" w:ascii="Times New Roman" w:hAnsi="Times New Roman"/>
          <w:b/>
          <w:sz w:val="24"/>
          <w:u w:val="single"/>
        </w:rPr>
      </w:r>
    </w:p>
    <w:p>
      <w:pPr>
        <w:pStyle w:val="Subject"/>
        <w:ind w:firstLine="720" w:end="0"/>
        <w:jc w:val="both"/>
        <w:rPr>
          <w:rFonts w:ascii="Times New Roman" w:hAnsi="Times New Roman" w:cs="Times New Roman"/>
          <w:sz w:val="24"/>
        </w:rPr>
      </w:pPr>
      <w:r>
        <w:rPr>
          <w:rFonts w:cs="Times New Roman" w:ascii="Times New Roman" w:hAnsi="Times New Roman"/>
          <w:sz w:val="24"/>
        </w:rPr>
        <w:t xml:space="preserve">The CEA, as amended, is the basic federal legislation affecting transactions by U.S. </w:t>
      </w:r>
    </w:p>
    <w:p>
      <w:pPr>
        <w:pStyle w:val="Subject"/>
        <w:jc w:val="both"/>
        <w:rPr/>
      </w:pPr>
      <w:r>
        <w:rPr>
          <w:rFonts w:cs="Times New Roman" w:ascii="Times New Roman" w:hAnsi="Times New Roman"/>
          <w:sz w:val="24"/>
        </w:rPr>
        <w:t>persons in commodity futures and option contracts.</w:t>
      </w:r>
      <w:r>
        <w:rPr>
          <w:rStyle w:val="FootnoteCharacters"/>
          <w:rStyle w:val="FootnoteReference"/>
          <w:rFonts w:cs="Times New Roman" w:ascii="Times New Roman" w:hAnsi="Times New Roman"/>
          <w:sz w:val="24"/>
        </w:rPr>
        <w:footnoteReference w:id="2"/>
      </w:r>
      <w:r>
        <w:rPr>
          <w:rFonts w:cs="Times New Roman" w:ascii="Times New Roman" w:hAnsi="Times New Roman"/>
          <w:sz w:val="24"/>
        </w:rPr>
        <w:t xml:space="preserve">  In 1974 Congress, concerned by pervasive fraud in the commodity option industry, extensively revamped the CEA, expanding the definition of “commodity” to include all those previously enumerated commodities and "all services, rights and interests in which contracts for future delivery are presently and in the future dealt with.”</w:t>
      </w:r>
      <w:r>
        <w:rPr>
          <w:rStyle w:val="FootnoteCharacters"/>
          <w:rStyle w:val="FootnoteReference"/>
          <w:rFonts w:cs="Times New Roman" w:ascii="Times New Roman" w:hAnsi="Times New Roman"/>
          <w:sz w:val="24"/>
        </w:rPr>
        <w:footnoteReference w:id="3"/>
      </w:r>
      <w:r>
        <w:rPr>
          <w:rFonts w:cs="Times New Roman" w:ascii="Times New Roman" w:hAnsi="Times New Roman"/>
          <w:sz w:val="24"/>
        </w:rPr>
        <w:t xml:space="preserve">  The effect of this broad definition was to enlarge the number of subjects of futures and option trading, and has led to new markets, including financial gas contracts.</w:t>
      </w:r>
      <w:r>
        <w:rPr>
          <w:rStyle w:val="FootnoteCharacters"/>
          <w:rStyle w:val="FootnoteReference"/>
          <w:rFonts w:cs="Times New Roman" w:ascii="Times New Roman" w:hAnsi="Times New Roman"/>
          <w:sz w:val="24"/>
        </w:rPr>
        <w:footnoteReference w:id="4"/>
      </w:r>
      <w:r>
        <w:rPr>
          <w:rFonts w:cs="Times New Roman" w:ascii="Times New Roman" w:hAnsi="Times New Roman"/>
          <w:sz w:val="24"/>
        </w:rPr>
        <w:t xml:space="preserve">  The 1974 amendments to the CEA also established the CFTC, a regulatory agency, to administer and enforce various provisions of the CEA.  If a transaction is within the jurisdiction of the CFTC, then (subject to certain limited exceptions described below) it is unlawful unless it is conducted on a CFTC designated “contract market”.</w:t>
      </w:r>
      <w:r>
        <w:rPr>
          <w:rStyle w:val="FootnoteCharacters"/>
          <w:rFonts w:cs="Times New Roman" w:ascii="Times New Roman" w:hAnsi="Times New Roman"/>
          <w:color w:val="FF0000"/>
          <w:sz w:val="24"/>
        </w:rPr>
        <w:t xml:space="preserve"> </w:t>
      </w:r>
      <w:r>
        <w:rPr>
          <w:rStyle w:val="FootnoteCharacters"/>
          <w:rStyle w:val="FootnoteReference"/>
          <w:rFonts w:cs="Times New Roman" w:ascii="Times New Roman" w:hAnsi="Times New Roman"/>
          <w:color w:val="000000"/>
          <w:sz w:val="24"/>
        </w:rPr>
        <w:footnoteReference w:id="5"/>
      </w:r>
      <w:r>
        <w:rPr>
          <w:rFonts w:cs="Times New Roman" w:ascii="Times New Roman" w:hAnsi="Times New Roman"/>
          <w:sz w:val="24"/>
        </w:rPr>
        <w:t xml:space="preserve"> </w:t>
      </w:r>
    </w:p>
    <w:p>
      <w:pPr>
        <w:pStyle w:val="Subject"/>
        <w:jc w:val="both"/>
        <w:rPr>
          <w:rFonts w:ascii="Times New Roman" w:hAnsi="Times New Roman" w:cs="Times New Roman"/>
          <w:sz w:val="24"/>
        </w:rPr>
      </w:pPr>
      <w:r>
        <w:rPr>
          <w:rFonts w:cs="Times New Roman" w:ascii="Times New Roman" w:hAnsi="Times New Roman"/>
          <w:sz w:val="24"/>
        </w:rPr>
      </w:r>
    </w:p>
    <w:p>
      <w:pPr>
        <w:pStyle w:val="Subject"/>
        <w:jc w:val="both"/>
        <w:rPr>
          <w:rFonts w:ascii="Times New Roman" w:hAnsi="Times New Roman" w:cs="Times New Roman"/>
          <w:b/>
          <w:sz w:val="24"/>
          <w:u w:val="single"/>
        </w:rPr>
      </w:pPr>
      <w:r>
        <w:rPr>
          <w:rFonts w:cs="Times New Roman" w:ascii="Times New Roman" w:hAnsi="Times New Roman"/>
          <w:b/>
          <w:sz w:val="24"/>
          <w:u w:val="single"/>
        </w:rPr>
        <w:t>Trade Option Exemption</w:t>
      </w:r>
    </w:p>
    <w:p>
      <w:pPr>
        <w:pStyle w:val="Subject"/>
        <w:ind w:firstLine="720" w:end="0"/>
        <w:jc w:val="both"/>
        <w:rPr>
          <w:rFonts w:ascii="Times New Roman" w:hAnsi="Times New Roman" w:cs="Times New Roman"/>
          <w:b/>
          <w:color w:val="000000"/>
          <w:sz w:val="24"/>
          <w:u w:val="single"/>
        </w:rPr>
      </w:pPr>
      <w:r>
        <w:rPr>
          <w:rFonts w:cs="Times New Roman" w:ascii="Times New Roman" w:hAnsi="Times New Roman"/>
          <w:b/>
          <w:color w:val="000000"/>
          <w:sz w:val="24"/>
          <w:u w:val="single"/>
        </w:rPr>
      </w:r>
    </w:p>
    <w:p>
      <w:pPr>
        <w:pStyle w:val="Subject"/>
        <w:ind w:firstLine="720" w:end="0"/>
        <w:jc w:val="both"/>
        <w:rPr/>
      </w:pPr>
      <w:r>
        <w:rPr>
          <w:rFonts w:cs="Times New Roman" w:ascii="Times New Roman" w:hAnsi="Times New Roman"/>
          <w:color w:val="000000"/>
          <w:sz w:val="24"/>
        </w:rPr>
        <w:t>Generally, the only exemption to regulation applicable to options for pipeline capacity is the trade option exemption.</w:t>
      </w:r>
      <w:r>
        <w:rPr>
          <w:rStyle w:val="FootnoteCharacters"/>
          <w:rStyle w:val="FootnoteReference"/>
          <w:rFonts w:cs="Times New Roman" w:ascii="Times New Roman" w:hAnsi="Times New Roman"/>
          <w:color w:val="000000"/>
          <w:sz w:val="24"/>
        </w:rPr>
        <w:footnoteReference w:id="6"/>
      </w:r>
      <w:r>
        <w:rPr>
          <w:rFonts w:cs="Times New Roman" w:ascii="Times New Roman" w:hAnsi="Times New Roman"/>
          <w:sz w:val="24"/>
        </w:rPr>
        <w:t xml:space="preserve">  CFTC regulations provide that the CEA “shall not apply to a commodity option offered by a person which has a reasonable basis to believe that the option is offered to a producer, processor, or commercial user of, or a merchant handling, the commodity which is the subject of the commodity option transaction, or the products of byproducts thereof, and that such producer, processor, commercial user or merchant is offered or enters into the commodity option transaction solely for purposes related to its business as such.”</w:t>
      </w:r>
      <w:r>
        <w:rPr>
          <w:rStyle w:val="FootnoteCharacters"/>
          <w:rStyle w:val="FootnoteReference"/>
          <w:rFonts w:cs="Times New Roman" w:ascii="Times New Roman" w:hAnsi="Times New Roman"/>
          <w:sz w:val="24"/>
        </w:rPr>
        <w:footnoteReference w:id="7"/>
      </w:r>
      <w:r>
        <w:rPr>
          <w:rFonts w:cs="Times New Roman" w:ascii="Times New Roman" w:hAnsi="Times New Roman"/>
          <w:sz w:val="24"/>
        </w:rPr>
        <w:t xml:space="preserve">  Thus, pursuant to this exemption, Transwestern can offer an option for pipeline capacity to a shipper (industrial user) without the transaction being regulated by the CFTC.</w:t>
      </w:r>
    </w:p>
    <w:p>
      <w:pPr>
        <w:pStyle w:val="Subject"/>
        <w:ind w:firstLine="720" w:end="0"/>
        <w:jc w:val="both"/>
        <w:rPr>
          <w:rFonts w:ascii="Times New Roman" w:hAnsi="Times New Roman" w:cs="Times New Roman"/>
          <w:sz w:val="24"/>
        </w:rPr>
      </w:pPr>
      <w:r>
        <w:rPr>
          <w:rFonts w:cs="Times New Roman" w:ascii="Times New Roman" w:hAnsi="Times New Roman"/>
          <w:sz w:val="24"/>
        </w:rPr>
      </w:r>
    </w:p>
    <w:p>
      <w:pPr>
        <w:pStyle w:val="Subject"/>
        <w:jc w:val="both"/>
        <w:rPr>
          <w:rFonts w:ascii="Times New Roman" w:hAnsi="Times New Roman" w:cs="Times New Roman"/>
          <w:b/>
          <w:sz w:val="24"/>
          <w:u w:val="single"/>
        </w:rPr>
      </w:pPr>
      <w:r>
        <w:rPr>
          <w:rFonts w:cs="Times New Roman" w:ascii="Times New Roman" w:hAnsi="Times New Roman"/>
          <w:b/>
          <w:sz w:val="24"/>
          <w:u w:val="single"/>
        </w:rPr>
        <w:t>Regulatory Burden</w:t>
      </w:r>
    </w:p>
    <w:p>
      <w:pPr>
        <w:pStyle w:val="BodyTextIndent"/>
        <w:spacing w:lineRule="auto" w:line="240"/>
        <w:rPr>
          <w:rFonts w:ascii="Times New Roman" w:hAnsi="Times New Roman" w:cs="Times New Roman"/>
          <w:b/>
          <w:sz w:val="24"/>
          <w:u w:val="single"/>
        </w:rPr>
      </w:pPr>
      <w:r>
        <w:rPr>
          <w:rFonts w:cs="Times New Roman"/>
          <w:b/>
          <w:sz w:val="24"/>
          <w:u w:val="single"/>
        </w:rPr>
      </w:r>
    </w:p>
    <w:p>
      <w:pPr>
        <w:pStyle w:val="BodyTextIndent"/>
        <w:spacing w:lineRule="auto" w:line="240"/>
        <w:rPr/>
      </w:pPr>
      <w:r>
        <w:rPr/>
        <w:t>Transwestern’s exempt status is contingent upon their offering options for pipeline capacity to commercial entities for a commercial purpose, however, if they offer options to a financial institution (or public) for speculation, their exemption would be revoked and they would be subject to CFTC’s regulations under the CEA.  As noted above, transactions that do not meet an exemption must be conducted on or subject to the rules of a board of trade</w:t>
      </w:r>
      <w:r>
        <w:rPr>
          <w:rStyle w:val="FootnoteCharacters"/>
          <w:rStyle w:val="FootnoteReference"/>
        </w:rPr>
        <w:footnoteReference w:id="8"/>
      </w:r>
      <w:r>
        <w:rPr/>
        <w:t xml:space="preserve"> that has been designated by the CFTC as a contract market</w:t>
      </w:r>
      <w:r>
        <w:rPr>
          <w:rStyle w:val="FootnoteCharacters"/>
          <w:rStyle w:val="FootnoteReference"/>
        </w:rPr>
        <w:footnoteReference w:id="9"/>
      </w:r>
      <w:r>
        <w:rPr/>
        <w:t xml:space="preserve"> for the relevant commodity.  Boards of trade are self-regulatory, quasi-public institutions with responsibilities for the enforcement of their own rules and regulations.  Violations of trade rules can subject members to disciplinary actions, including suspension and fines.  All such disciplinary actions are subject to review by the CFTC.</w:t>
      </w:r>
    </w:p>
    <w:p>
      <w:pPr>
        <w:pStyle w:val="BodyTextIndent"/>
        <w:spacing w:lineRule="auto" w:line="240"/>
        <w:ind w:hanging="0" w:end="0"/>
        <w:rPr/>
      </w:pPr>
      <w:r>
        <w:rPr/>
      </w:r>
    </w:p>
    <w:p>
      <w:pPr>
        <w:pStyle w:val="BodyTextIndent"/>
        <w:spacing w:lineRule="auto" w:line="240"/>
        <w:rPr/>
      </w:pPr>
      <w:r>
        <w:rPr/>
        <w:t>To be designated as a contract market in a commodity, the board of trade must make a submission to the CFTC which, among other things, sets forth the terms and conditions of the contract to be traded, provides an economic justification for such contract, and establishes that the contract will “not be contrary to the public interest.  The exchange must also demonstrate that it is capable of enforcing its rules, that it can prevent manipulations, has adequate record keeping systems in place and has an affirmative compliance program in effect.</w:t>
      </w:r>
      <w:r>
        <w:rPr>
          <w:rStyle w:val="FootnoteCharacters"/>
          <w:rStyle w:val="FootnoteReference"/>
        </w:rPr>
        <w:footnoteReference w:id="10"/>
      </w:r>
    </w:p>
    <w:p>
      <w:pPr>
        <w:pStyle w:val="BodyTextIndent"/>
        <w:spacing w:lineRule="auto" w:line="240"/>
        <w:rPr/>
      </w:pPr>
      <w:r>
        <w:rPr/>
      </w:r>
    </w:p>
    <w:p>
      <w:pPr>
        <w:pStyle w:val="BodyTextIndent"/>
        <w:spacing w:lineRule="auto" w:line="240"/>
        <w:rPr/>
      </w:pPr>
      <w:r>
        <w:rPr/>
        <w:t>The standardized terms and conditions under which a particular commodity option contract is to be traded are set forth in the rulebook of the particular market on which it trades.  The rule book covers contract terms and conditions, such as trading units, trading months, hours of trading, daily price range, position limits, delivery procedures, payments on delivery, and the like.</w:t>
      </w:r>
      <w:r>
        <w:rPr>
          <w:rStyle w:val="FootnoteCharacters"/>
          <w:rStyle w:val="FootnoteReference"/>
        </w:rPr>
        <w:footnoteReference w:id="11"/>
      </w:r>
    </w:p>
    <w:p>
      <w:pPr>
        <w:pStyle w:val="BodyTextIndent"/>
        <w:spacing w:lineRule="auto" w:line="240"/>
        <w:rPr/>
      </w:pPr>
      <w:r>
        <w:rPr/>
      </w:r>
    </w:p>
    <w:p>
      <w:pPr>
        <w:pStyle w:val="BodyTextIndent"/>
        <w:spacing w:lineRule="auto" w:line="240"/>
        <w:rPr/>
      </w:pPr>
      <w:r>
        <w:rPr/>
        <w:t xml:space="preserve">  </w:t>
      </w:r>
    </w:p>
    <w:p>
      <w:pPr>
        <w:pStyle w:val="BodyTextIndent"/>
        <w:spacing w:lineRule="auto" w:line="240"/>
        <w:rPr/>
      </w:pPr>
      <w:r>
        <w:rPr/>
      </w:r>
    </w:p>
    <w:p>
      <w:pPr>
        <w:pStyle w:val="BodyTextIndent"/>
        <w:spacing w:lineRule="auto" w:line="240"/>
        <w:rPr/>
      </w:pPr>
      <w:r>
        <w:rPr/>
      </w:r>
    </w:p>
    <w:p>
      <w:pPr>
        <w:pStyle w:val="BodyTextIndent"/>
        <w:ind w:hanging="0" w:end="0"/>
        <w:rPr/>
      </w:pPr>
      <w:r>
        <w:rPr/>
      </w:r>
    </w:p>
    <w:p>
      <w:pPr>
        <w:pStyle w:val="Normal"/>
        <w:spacing w:lineRule="auto" w:line="480"/>
        <w:jc w:val="both"/>
        <w:rPr>
          <w:color w:val="000000"/>
          <w:sz w:val="24"/>
          <w:lang w:eastAsia="en-US"/>
        </w:rPr>
      </w:pPr>
      <w:r>
        <w:rPr>
          <w:color w:val="000000"/>
          <w:sz w:val="24"/>
          <w:lang w:eastAsia="en-US"/>
        </w:rPr>
      </w:r>
    </w:p>
    <w:p>
      <w:pPr>
        <w:pStyle w:val="Normal"/>
        <w:spacing w:lineRule="auto" w:line="480"/>
        <w:jc w:val="both"/>
        <w:rPr>
          <w:color w:val="000000"/>
          <w:sz w:val="24"/>
          <w:lang w:eastAsia="en-US"/>
        </w:rPr>
      </w:pPr>
      <w:r>
        <w:rPr>
          <w:color w:val="000000"/>
          <w:sz w:val="24"/>
          <w:lang w:eastAsia="en-US"/>
        </w:rPr>
      </w:r>
    </w:p>
    <w:p>
      <w:pPr>
        <w:pStyle w:val="Normal"/>
        <w:spacing w:lineRule="auto" w:line="480"/>
        <w:jc w:val="both"/>
        <w:rPr>
          <w:color w:val="000000"/>
          <w:sz w:val="24"/>
          <w:lang w:eastAsia="en-US"/>
        </w:rPr>
      </w:pPr>
      <w:r>
        <w:rPr>
          <w:color w:val="000000"/>
          <w:sz w:val="24"/>
          <w:lang w:eastAsia="en-US"/>
        </w:rPr>
        <w:t xml:space="preserve"> </w:t>
      </w:r>
    </w:p>
    <w:p>
      <w:pPr>
        <w:pStyle w:val="Subject"/>
        <w:spacing w:lineRule="auto" w:line="480"/>
        <w:ind w:start="720" w:end="0"/>
        <w:jc w:val="both"/>
        <w:rPr>
          <w:rFonts w:ascii="Times New Roman" w:hAnsi="Times New Roman" w:cs="Times New Roman"/>
          <w:color w:val="000000"/>
          <w:sz w:val="24"/>
          <w:lang w:eastAsia="en-US"/>
        </w:rPr>
      </w:pPr>
      <w:r>
        <w:rPr>
          <w:rFonts w:cs="Times New Roman" w:ascii="Times New Roman" w:hAnsi="Times New Roman"/>
          <w:color w:val="000000"/>
          <w:sz w:val="24"/>
          <w:lang w:eastAsia="en-US"/>
        </w:rPr>
      </w:r>
    </w:p>
    <w:p>
      <w:pPr>
        <w:pStyle w:val="Subject"/>
        <w:spacing w:lineRule="auto" w:line="480"/>
        <w:ind w:firstLine="720" w:end="0"/>
        <w:jc w:val="both"/>
        <w:rPr>
          <w:rFonts w:ascii="Times New Roman" w:hAnsi="Times New Roman" w:cs="Times New Roman"/>
          <w:sz w:val="24"/>
        </w:rPr>
      </w:pPr>
      <w:r>
        <w:rPr>
          <w:rFonts w:cs="Times New Roman" w:ascii="Times New Roman" w:hAnsi="Times New Roman"/>
          <w:sz w:val="24"/>
        </w:rPr>
      </w:r>
    </w:p>
    <w:p>
      <w:pPr>
        <w:pStyle w:val="Subject"/>
        <w:spacing w:lineRule="auto" w:line="480"/>
        <w:ind w:firstLine="720" w:end="0"/>
        <w:jc w:val="both"/>
        <w:rPr>
          <w:rFonts w:ascii="Times New Roman" w:hAnsi="Times New Roman" w:cs="Times New Roman"/>
          <w:sz w:val="24"/>
        </w:rPr>
      </w:pPr>
      <w:r>
        <w:rPr>
          <w:rFonts w:cs="Times New Roman" w:ascii="Times New Roman" w:hAnsi="Times New Roman"/>
          <w:sz w:val="24"/>
        </w:rPr>
      </w:r>
    </w:p>
    <w:p>
      <w:pPr>
        <w:pStyle w:val="Subject"/>
        <w:spacing w:lineRule="auto" w:line="480"/>
        <w:ind w:firstLine="720" w:end="0"/>
        <w:jc w:val="both"/>
        <w:rPr>
          <w:rFonts w:ascii="Times New Roman" w:hAnsi="Times New Roman" w:cs="Times New Roman"/>
          <w:sz w:val="24"/>
        </w:rPr>
      </w:pPr>
      <w:r>
        <w:rPr>
          <w:rFonts w:cs="Times New Roman" w:ascii="Times New Roman" w:hAnsi="Times New Roman"/>
          <w:sz w:val="24"/>
        </w:rPr>
      </w:r>
    </w:p>
    <w:p>
      <w:pPr>
        <w:pStyle w:val="Subject"/>
        <w:spacing w:lineRule="auto" w:line="480"/>
        <w:jc w:val="both"/>
        <w:rPr>
          <w:rFonts w:ascii="Times New Roman" w:hAnsi="Times New Roman" w:cs="Times New Roman"/>
          <w:sz w:val="24"/>
        </w:rPr>
      </w:pPr>
      <w:r>
        <w:rPr>
          <w:rFonts w:cs="Times New Roman" w:ascii="Times New Roman" w:hAnsi="Times New Roman"/>
          <w:sz w:val="24"/>
        </w:rPr>
        <w:tab/>
      </w:r>
    </w:p>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Commodity Futures Trading Commission Act of 1974, 7 U.S.C.A. § 4a, Amending Commodity Exchange Act of 1936.</w:t>
      </w:r>
    </w:p>
  </w:footnote>
  <w:footnote w:id="3">
    <w:p>
      <w:pPr>
        <w:pStyle w:val="FootnoteText"/>
        <w:rPr/>
      </w:pPr>
      <w:r>
        <w:rPr>
          <w:rStyle w:val="FootnoteCharacters"/>
        </w:rPr>
        <w:footnoteRef/>
      </w:r>
      <w:r>
        <w:rPr/>
        <w:t xml:space="preserve"> </w:t>
      </w:r>
      <w:r>
        <w:rPr/>
        <w:t>See Id. Before 1974 the only commodity transactions regulated under the CEA were agricultural commodities specified in the act.</w:t>
      </w:r>
    </w:p>
  </w:footnote>
  <w:footnote w:id="4">
    <w:p>
      <w:pPr>
        <w:pStyle w:val="FootnoteText"/>
        <w:rPr/>
      </w:pPr>
      <w:r>
        <w:rPr>
          <w:rStyle w:val="FootnoteCharacters"/>
        </w:rPr>
        <w:footnoteRef/>
      </w:r>
      <w:r>
        <w:rPr/>
        <w:t xml:space="preserve"> </w:t>
      </w:r>
      <w:r>
        <w:rPr/>
        <w:t>The term “financial gas contract” is used for gas contracts where the primary underlying purpose of the contract is to manage price risk rather than deliver or receive gas.</w:t>
      </w:r>
    </w:p>
  </w:footnote>
  <w:footnote w:id="5">
    <w:p>
      <w:pPr>
        <w:pStyle w:val="FootnoteText"/>
        <w:rPr/>
      </w:pPr>
      <w:r>
        <w:rPr>
          <w:rStyle w:val="FootnoteCharacters"/>
        </w:rPr>
        <w:footnoteRef/>
      </w:r>
      <w:r>
        <w:rPr/>
        <w:t xml:space="preserve"> </w:t>
      </w:r>
      <w:r>
        <w:rPr/>
        <w:t>The NYMEX is the only contract market designated by the CEA as an exchange that trades in natural gas contracts.</w:t>
      </w:r>
    </w:p>
  </w:footnote>
  <w:footnote w:id="6">
    <w:p>
      <w:pPr>
        <w:pStyle w:val="FootnoteText"/>
        <w:rPr/>
      </w:pPr>
      <w:r>
        <w:rPr>
          <w:rStyle w:val="FootnoteCharacters"/>
        </w:rPr>
        <w:footnoteRef/>
      </w:r>
      <w:r>
        <w:rPr/>
        <w:t xml:space="preserve"> </w:t>
      </w:r>
      <w:r>
        <w:rPr/>
        <w:t>The other exception to the above stated tenant are transactions involving certain “dealer options,” in which options are granted by persons in the business of granting options on a physical commodity and who were in the business of buying, selling, producing or otherwise using that commodity as of May 1, 1978 and who satisfy certain net worth and other CFTC rules.  See 17 C.F.R. § 32.12.</w:t>
      </w:r>
    </w:p>
  </w:footnote>
  <w:footnote w:id="7">
    <w:p>
      <w:pPr>
        <w:pStyle w:val="FootnoteText"/>
        <w:rPr/>
      </w:pPr>
      <w:r>
        <w:rPr>
          <w:rStyle w:val="FootnoteCharacters"/>
        </w:rPr>
        <w:footnoteRef/>
      </w:r>
      <w:r>
        <w:rPr/>
        <w:t xml:space="preserve"> </w:t>
      </w:r>
      <w:r>
        <w:rPr/>
        <w:t>17 C.F.R. § 32.4(a) (1999).</w:t>
      </w:r>
    </w:p>
  </w:footnote>
  <w:footnote w:id="8">
    <w:p>
      <w:pPr>
        <w:pStyle w:val="FootnoteText"/>
        <w:rPr/>
      </w:pPr>
      <w:r>
        <w:rPr>
          <w:rStyle w:val="FootnoteCharacters"/>
        </w:rPr>
        <w:footnoteRef/>
      </w:r>
      <w:r>
        <w:rPr/>
        <w:t xml:space="preserve"> </w:t>
      </w:r>
      <w:r>
        <w:rPr/>
        <w:t xml:space="preserve">7 U.S.C.A. §  6(a)(1) (West 2000).  “Board of Trade” means any exchange or association, whether incorporated or unincorporated, of persons who shall be engaged in the business of buying or selling any commodity or receiving the same for sale on consignment.  </w:t>
      </w:r>
    </w:p>
  </w:footnote>
  <w:footnote w:id="9">
    <w:p>
      <w:pPr>
        <w:pStyle w:val="FootnoteText"/>
        <w:rPr/>
      </w:pPr>
      <w:r>
        <w:rPr>
          <w:rStyle w:val="FootnoteCharacters"/>
        </w:rPr>
        <w:footnoteRef/>
      </w:r>
      <w:r>
        <w:rPr/>
        <w:t xml:space="preserve"> </w:t>
      </w:r>
      <w:r>
        <w:rPr/>
        <w:t>7 U.S.C.A. § 2 (West 2000).  “Contract Market” means a board of trade designated by the CFTC as a contract market under the CEA.</w:t>
      </w:r>
    </w:p>
  </w:footnote>
  <w:footnote w:id="10">
    <w:p>
      <w:pPr>
        <w:pStyle w:val="FootnoteText"/>
        <w:rPr/>
      </w:pPr>
      <w:r>
        <w:rPr>
          <w:rStyle w:val="FootnoteCharacters"/>
        </w:rPr>
        <w:footnoteRef/>
      </w:r>
      <w:r>
        <w:rPr/>
        <w:t xml:space="preserve"> </w:t>
      </w:r>
      <w:r>
        <w:rPr/>
        <w:t>Schneider, Regulation of Commodity Futures and Options Trading, PLI Order No. B4-6896 (1989); See also 17 C.F.R § 36.3 (2000).</w:t>
      </w:r>
    </w:p>
  </w:footnote>
  <w:footnote w:id="11">
    <w:p>
      <w:pPr>
        <w:pStyle w:val="FootnoteText"/>
        <w:rPr/>
      </w:pPr>
      <w:r>
        <w:rPr>
          <w:rStyle w:val="FootnoteCharacters"/>
        </w:rPr>
        <w:footnoteRef/>
      </w:r>
      <w:r>
        <w:rPr/>
        <w:t xml:space="preserve"> </w:t>
      </w:r>
      <w:r>
        <w:rPr/>
        <w:t>Id.</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u w:val="no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ject">
    <w:name w:val="Subject"/>
    <w:basedOn w:val="Normal"/>
    <w:qFormat/>
    <w:pPr/>
    <w:rPr>
      <w:rFonts w:ascii="Arial" w:hAnsi="Arial" w:cs="Arial"/>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firstLine="720" w:start="0" w:end="0"/>
      <w:jc w:val="both"/>
    </w:pPr>
    <w:rPr>
      <w:color w:val="000000"/>
      <w:sz w:val="24"/>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2000-06-30T13:35:00Z</dcterms:created>
  <dc:creator>Rocio Martinez</dc:creator>
  <dc:description>	This memo is intended to summarize the results of our research regarding our duty to deliver possession of the gas if Sempra fails to deliver payment under the sales contract.Our search of New York case law relating to the sale of stored minerals and / or stored gas revealed no applicable decisions.Consequently, there is no need to amend the sales agreement by adding language expressly stating that the covenants to deliver possession and to tender payment are mutually dependent.  The New York case law also supports our conclusion that we are not required to deliver if XXXX fails to tender payment.  If XXXXX fails to tender payment at the time of delivery as provided for in the sales contract, the Code provides that we may suspend our performance and not deliver the gas.  </dc:description>
  <cp:keywords>contract gas sale deliver dependent</cp:keywords>
  <dc:language>en-CA</dc:language>
  <cp:lastModifiedBy>Rocio Martinez</cp:lastModifiedBy>
  <cp:lastPrinted>2000-06-29T17:15:00Z</cp:lastPrinted>
  <dcterms:modified xsi:type="dcterms:W3CDTF">2000-06-30T13:35:00Z</dcterms:modified>
  <cp:revision>2</cp:revision>
  <dc:subject/>
  <dc:title> </dc:title>
</cp:coreProperties>
</file>