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August 16,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Cap Gemini Ernst &amp; Young U.S. LLC</w:t>
      </w:r>
    </w:p>
    <w:p>
      <w:pPr>
        <w:pStyle w:val="Normal"/>
        <w:jc w:val="both"/>
        <w:rPr>
          <w:rFonts w:ascii="Times New Roman" w:hAnsi="Times New Roman" w:cs="Times New Roman"/>
          <w:sz w:val="22"/>
        </w:rPr>
      </w:pPr>
      <w:r>
        <w:rPr>
          <w:rFonts w:cs="Times New Roman" w:ascii="Times New Roman" w:hAnsi="Times New Roman"/>
          <w:sz w:val="22"/>
        </w:rPr>
        <w:t>1221 McKinney Street</w:t>
      </w:r>
    </w:p>
    <w:p>
      <w:pPr>
        <w:pStyle w:val="Normal"/>
        <w:jc w:val="both"/>
        <w:rPr>
          <w:rFonts w:ascii="Times New Roman" w:hAnsi="Times New Roman" w:cs="Times New Roman"/>
          <w:sz w:val="22"/>
        </w:rPr>
      </w:pPr>
      <w:r>
        <w:rPr>
          <w:rFonts w:cs="Times New Roman" w:ascii="Times New Roman" w:hAnsi="Times New Roman"/>
          <w:sz w:val="22"/>
        </w:rPr>
        <w:t>Suite 2400</w:t>
      </w:r>
    </w:p>
    <w:p>
      <w:pPr>
        <w:pStyle w:val="Normal"/>
        <w:jc w:val="both"/>
        <w:rPr>
          <w:rFonts w:ascii="Times New Roman" w:hAnsi="Times New Roman" w:cs="Times New Roman"/>
          <w:sz w:val="22"/>
        </w:rPr>
      </w:pPr>
      <w:r>
        <w:rPr>
          <w:rFonts w:cs="Times New Roman" w:ascii="Times New Roman" w:hAnsi="Times New Roman"/>
          <w:sz w:val="22"/>
        </w:rPr>
        <w:t>Houston, Texas  77010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Cap Gemini Ernst &amp; Young U.S. LLC and Enron Net Works LLC and EnronOnline, LLC (hereinafter individually and collectively referred to as a party) and their affiliates are prepared to furnish each other with information in connection with the potential marketing of private e-marketplace solutions created by Enron Net Works LLC, EnronOnline, LLC, or their affiliates (“Transaction”), which information is confidential or otherwise generally not available to the public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this agreement or the proposed Transaction.</w:t>
      </w:r>
    </w:p>
    <w:p>
      <w:pPr>
        <w:pStyle w:val="Normal"/>
        <w:tabs>
          <w:tab w:val="clear" w:pos="720"/>
          <w:tab w:val="left" w:pos="0" w:leader="none"/>
        </w:tabs>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agree that all right, title and interest in and to the Confidential Information disclosed hereunder shall be retained by the disclosing party and that no present or future intellectual property rights or licenses are offered, granted or implied by the disclosure of any Confidential Information hereunder.</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CAP GEMINI ERNST &amp; YOUNG U.S. LLC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/mnt/main-storage/datasets/enron-docs/doc/cap_gemini.doc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Cap Gemini Ernst &amp; Young U.S. LLC</w:t>
    </w:r>
  </w:p>
  <w:p>
    <w:pPr>
      <w:pStyle w:val="Header"/>
      <w:rPr>
        <w:rFonts w:ascii="Times New Roman" w:hAnsi="Times New Roman" w:cs="Times New Roman"/>
        <w:sz w:val="22"/>
      </w:rPr>
    </w:pPr>
    <w:r>
      <w:rPr>
        <w:rFonts w:cs="Times New Roman" w:ascii="Times New Roman" w:hAnsi="Times New Roman"/>
        <w:sz w:val="22"/>
      </w:rPr>
      <w:t>August 16, 2001</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2001-08-16T17:37:00Z</dcterms:created>
  <dc:creator>ECT</dc:creator>
  <dc:description/>
  <dc:language>en-CA</dc:language>
  <cp:lastModifiedBy>mheard</cp:lastModifiedBy>
  <cp:lastPrinted>2001-08-16T15:27:00Z</cp:lastPrinted>
  <dcterms:modified xsi:type="dcterms:W3CDTF">2001-08-16T17:57:00Z</dcterms:modified>
  <cp:revision>3</cp:revision>
  <dc:subject/>
  <dc:title>Reciprocal Confidentiality Agreement</dc:title>
</cp:coreProperties>
</file>