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5680" cy="989965"/>
                    </a:xfrm>
                    <a:prstGeom prst="rect">
                      <a:avLst/>
                    </a:prstGeom>
                    <a:noFill/>
                  </pic:spPr>
                </pic:pic>
              </a:graphicData>
            </a:graphic>
          </wp:inline>
        </w:drawing>
      </w:r>
    </w:p>
    <w:p>
      <w:pPr>
        <w:pStyle w:val="Heading"/>
        <w:jc w:val="both"/>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both"/>
              <w:rPr>
                <w:sz w:val="16"/>
                <w:szCs w:val="16"/>
              </w:rPr>
            </w:pPr>
            <w:r>
              <w:rPr>
                <w:sz w:val="16"/>
                <w:szCs w:val="16"/>
              </w:rPr>
              <w:t>To:</w:t>
            </w:r>
          </w:p>
        </w:tc>
        <w:tc>
          <w:tcPr>
            <w:tcW w:w="6045" w:type="dxa"/>
            <w:tcBorders/>
          </w:tcPr>
          <w:p>
            <w:pPr>
              <w:pStyle w:val="To"/>
              <w:jc w:val="both"/>
              <w:rPr/>
            </w:pPr>
            <w:r>
              <w:rPr/>
              <w:t>Greg Whalley</w:t>
            </w:r>
          </w:p>
        </w:tc>
        <w:tc>
          <w:tcPr>
            <w:tcW w:w="990" w:type="dxa"/>
            <w:tcBorders/>
          </w:tcPr>
          <w:p>
            <w:pPr>
              <w:pStyle w:val="Normal"/>
              <w:snapToGrid w:val="false"/>
              <w:ind w:start="-180" w:end="0"/>
              <w:jc w:val="both"/>
              <w:rPr/>
            </w:pPr>
            <w:r>
              <w:rPr/>
            </w:r>
          </w:p>
        </w:tc>
        <w:tc>
          <w:tcPr>
            <w:tcW w:w="2965" w:type="dxa"/>
            <w:tcBorders/>
          </w:tcPr>
          <w:p>
            <w:pPr>
              <w:pStyle w:val="Normal"/>
              <w:snapToGrid w:val="false"/>
              <w:jc w:val="both"/>
              <w:rPr/>
            </w:pPr>
            <w:r>
              <w:rPr/>
            </w:r>
          </w:p>
        </w:tc>
      </w:tr>
      <w:tr>
        <w:trPr>
          <w:trHeight w:val="216" w:hRule="exact"/>
        </w:trPr>
        <w:tc>
          <w:tcPr>
            <w:tcW w:w="708" w:type="dxa"/>
            <w:tcBorders/>
          </w:tcPr>
          <w:p>
            <w:pPr>
              <w:pStyle w:val="Normal"/>
              <w:snapToGrid w:val="false"/>
              <w:ind w:start="-180" w:end="0"/>
              <w:jc w:val="both"/>
              <w:rPr>
                <w:sz w:val="18"/>
                <w:szCs w:val="18"/>
              </w:rPr>
            </w:pPr>
            <w:r>
              <w:rPr>
                <w:sz w:val="18"/>
                <w:szCs w:val="18"/>
              </w:rPr>
            </w:r>
          </w:p>
        </w:tc>
        <w:tc>
          <w:tcPr>
            <w:tcW w:w="6045" w:type="dxa"/>
            <w:tcBorders/>
          </w:tcPr>
          <w:p>
            <w:pPr>
              <w:pStyle w:val="Normal"/>
              <w:snapToGrid w:val="false"/>
              <w:jc w:val="both"/>
              <w:rPr>
                <w:sz w:val="18"/>
                <w:szCs w:val="18"/>
              </w:rPr>
            </w:pPr>
            <w:r>
              <w:rPr>
                <w:sz w:val="18"/>
                <w:szCs w:val="18"/>
              </w:rPr>
            </w:r>
          </w:p>
        </w:tc>
        <w:tc>
          <w:tcPr>
            <w:tcW w:w="990" w:type="dxa"/>
            <w:tcBorders/>
          </w:tcPr>
          <w:p>
            <w:pPr>
              <w:pStyle w:val="Normal"/>
              <w:snapToGrid w:val="false"/>
              <w:ind w:start="-180" w:end="0"/>
              <w:jc w:val="both"/>
              <w:rPr>
                <w:sz w:val="18"/>
                <w:szCs w:val="18"/>
              </w:rPr>
            </w:pPr>
            <w:r>
              <w:rPr>
                <w:sz w:val="18"/>
                <w:szCs w:val="18"/>
              </w:rPr>
            </w:r>
          </w:p>
        </w:tc>
        <w:tc>
          <w:tcPr>
            <w:tcW w:w="2965" w:type="dxa"/>
            <w:tcBorders/>
          </w:tcPr>
          <w:p>
            <w:pPr>
              <w:pStyle w:val="Normal"/>
              <w:snapToGrid w:val="false"/>
              <w:jc w:val="both"/>
              <w:rPr>
                <w:sz w:val="18"/>
                <w:szCs w:val="18"/>
              </w:rPr>
            </w:pPr>
            <w:r>
              <w:rPr>
                <w:sz w:val="18"/>
                <w:szCs w:val="18"/>
              </w:rPr>
            </w:r>
          </w:p>
        </w:tc>
      </w:tr>
      <w:tr>
        <w:trPr>
          <w:trHeight w:val="300" w:hRule="exact"/>
        </w:trPr>
        <w:tc>
          <w:tcPr>
            <w:tcW w:w="708" w:type="dxa"/>
            <w:tcBorders/>
          </w:tcPr>
          <w:p>
            <w:pPr>
              <w:pStyle w:val="Normal"/>
              <w:ind w:start="-180" w:end="0"/>
              <w:jc w:val="both"/>
              <w:rPr>
                <w:sz w:val="16"/>
                <w:szCs w:val="16"/>
              </w:rPr>
            </w:pPr>
            <w:r>
              <w:rPr>
                <w:sz w:val="16"/>
                <w:szCs w:val="16"/>
              </w:rPr>
              <w:t>From:</w:t>
            </w:r>
          </w:p>
        </w:tc>
        <w:tc>
          <w:tcPr>
            <w:tcW w:w="6045" w:type="dxa"/>
            <w:tcBorders/>
          </w:tcPr>
          <w:p>
            <w:pPr>
              <w:pStyle w:val="From"/>
              <w:jc w:val="both"/>
              <w:rPr/>
            </w:pPr>
            <w:r>
              <w:rPr/>
              <w:t>Elizabeth Sager and Christi Nicolay</w:t>
            </w:r>
          </w:p>
        </w:tc>
        <w:tc>
          <w:tcPr>
            <w:tcW w:w="990" w:type="dxa"/>
            <w:tcBorders/>
          </w:tcPr>
          <w:p>
            <w:pPr>
              <w:pStyle w:val="Normal"/>
              <w:ind w:start="-180" w:end="0"/>
              <w:jc w:val="both"/>
              <w:rPr>
                <w:sz w:val="16"/>
                <w:szCs w:val="16"/>
              </w:rPr>
            </w:pPr>
            <w:r>
              <w:rPr>
                <w:sz w:val="16"/>
                <w:szCs w:val="16"/>
              </w:rPr>
              <w:t>Department:</w:t>
            </w:r>
          </w:p>
        </w:tc>
        <w:tc>
          <w:tcPr>
            <w:tcW w:w="2965" w:type="dxa"/>
            <w:tcBorders/>
          </w:tcPr>
          <w:p>
            <w:pPr>
              <w:pStyle w:val="Department"/>
              <w:jc w:val="both"/>
              <w:rPr/>
            </w:pPr>
            <w:bookmarkStart w:id="0" w:name="From"/>
            <w:bookmarkEnd w:id="0"/>
            <w:r>
              <w:rPr/>
              <w:t xml:space="preserve">ECT-Legal and Reg. Affairs </w:t>
            </w:r>
          </w:p>
        </w:tc>
      </w:tr>
      <w:tr>
        <w:trPr>
          <w:trHeight w:val="216" w:hRule="exact"/>
        </w:trPr>
        <w:tc>
          <w:tcPr>
            <w:tcW w:w="708" w:type="dxa"/>
            <w:tcBorders/>
          </w:tcPr>
          <w:p>
            <w:pPr>
              <w:pStyle w:val="Normal"/>
              <w:snapToGrid w:val="false"/>
              <w:ind w:start="-180" w:end="0"/>
              <w:jc w:val="both"/>
              <w:rPr>
                <w:sz w:val="18"/>
                <w:szCs w:val="18"/>
              </w:rPr>
            </w:pPr>
            <w:r>
              <w:rPr>
                <w:sz w:val="18"/>
                <w:szCs w:val="18"/>
              </w:rPr>
            </w:r>
          </w:p>
        </w:tc>
        <w:tc>
          <w:tcPr>
            <w:tcW w:w="6045" w:type="dxa"/>
            <w:tcBorders/>
          </w:tcPr>
          <w:p>
            <w:pPr>
              <w:pStyle w:val="Normal"/>
              <w:snapToGrid w:val="false"/>
              <w:jc w:val="both"/>
              <w:rPr>
                <w:sz w:val="18"/>
                <w:szCs w:val="18"/>
              </w:rPr>
            </w:pPr>
            <w:r>
              <w:rPr>
                <w:sz w:val="18"/>
                <w:szCs w:val="18"/>
              </w:rPr>
            </w:r>
          </w:p>
        </w:tc>
        <w:tc>
          <w:tcPr>
            <w:tcW w:w="990" w:type="dxa"/>
            <w:tcBorders/>
          </w:tcPr>
          <w:p>
            <w:pPr>
              <w:pStyle w:val="Normal"/>
              <w:snapToGrid w:val="false"/>
              <w:ind w:start="-180" w:end="0"/>
              <w:jc w:val="both"/>
              <w:rPr>
                <w:sz w:val="18"/>
                <w:szCs w:val="18"/>
              </w:rPr>
            </w:pPr>
            <w:r>
              <w:rPr>
                <w:sz w:val="18"/>
                <w:szCs w:val="18"/>
              </w:rPr>
            </w:r>
          </w:p>
        </w:tc>
        <w:tc>
          <w:tcPr>
            <w:tcW w:w="2965" w:type="dxa"/>
            <w:tcBorders/>
          </w:tcPr>
          <w:p>
            <w:pPr>
              <w:pStyle w:val="Normal"/>
              <w:snapToGrid w:val="false"/>
              <w:jc w:val="both"/>
              <w:rPr>
                <w:sz w:val="18"/>
                <w:szCs w:val="18"/>
              </w:rPr>
            </w:pPr>
            <w:r>
              <w:rPr>
                <w:sz w:val="18"/>
                <w:szCs w:val="18"/>
              </w:rPr>
            </w:r>
          </w:p>
        </w:tc>
      </w:tr>
      <w:tr>
        <w:trPr>
          <w:trHeight w:val="600" w:hRule="exact"/>
        </w:trPr>
        <w:tc>
          <w:tcPr>
            <w:tcW w:w="708" w:type="dxa"/>
            <w:tcBorders>
              <w:bottom w:val="single" w:sz="12" w:space="0" w:color="000000"/>
            </w:tcBorders>
          </w:tcPr>
          <w:p>
            <w:pPr>
              <w:pStyle w:val="Normal"/>
              <w:ind w:start="-180" w:end="0"/>
              <w:jc w:val="both"/>
              <w:rPr>
                <w:sz w:val="16"/>
                <w:szCs w:val="16"/>
              </w:rPr>
            </w:pPr>
            <w:r>
              <w:rPr>
                <w:sz w:val="16"/>
                <w:szCs w:val="16"/>
              </w:rPr>
              <w:t>Subject:</w:t>
            </w:r>
          </w:p>
        </w:tc>
        <w:tc>
          <w:tcPr>
            <w:tcW w:w="6045" w:type="dxa"/>
            <w:tcBorders>
              <w:bottom w:val="single" w:sz="12" w:space="0" w:color="000000"/>
            </w:tcBorders>
          </w:tcPr>
          <w:p>
            <w:pPr>
              <w:pStyle w:val="Subject"/>
              <w:jc w:val="both"/>
              <w:rPr/>
            </w:pPr>
            <w:r>
              <w:rPr/>
              <w:t>Control Area Confidentiality Agreement</w:t>
            </w:r>
          </w:p>
        </w:tc>
        <w:tc>
          <w:tcPr>
            <w:tcW w:w="990" w:type="dxa"/>
            <w:tcBorders>
              <w:bottom w:val="single" w:sz="12" w:space="0" w:color="000000"/>
            </w:tcBorders>
          </w:tcPr>
          <w:p>
            <w:pPr>
              <w:pStyle w:val="Normal"/>
              <w:ind w:start="-180" w:end="0"/>
              <w:jc w:val="both"/>
              <w:rPr>
                <w:sz w:val="16"/>
                <w:szCs w:val="16"/>
              </w:rPr>
            </w:pPr>
            <w:r>
              <w:rPr>
                <w:sz w:val="16"/>
                <w:szCs w:val="16"/>
              </w:rPr>
              <w:t>Date:</w:t>
            </w:r>
          </w:p>
        </w:tc>
        <w:tc>
          <w:tcPr>
            <w:tcW w:w="2965" w:type="dxa"/>
            <w:tcBorders>
              <w:bottom w:val="single" w:sz="12" w:space="0" w:color="000000"/>
            </w:tcBorders>
          </w:tcPr>
          <w:p>
            <w:pPr>
              <w:pStyle w:val="Date"/>
              <w:jc w:val="both"/>
              <w:rPr/>
            </w:pPr>
            <w:r>
              <w:rPr/>
              <w:fldChar w:fldCharType="begin"/>
            </w:r>
            <w:r>
              <w:rPr/>
              <w:instrText xml:space="preserve"> DATE \@"MMMM\ d', 'yyyy" </w:instrText>
            </w:r>
            <w:r>
              <w:rPr/>
              <w:fldChar w:fldCharType="separate"/>
            </w:r>
            <w:r>
              <w:rPr/>
              <w:t>September 28, 2025</w:t>
            </w:r>
            <w:r>
              <w:rPr/>
              <w:fldChar w:fldCharType="end"/>
            </w:r>
          </w:p>
        </w:tc>
      </w:tr>
    </w:tbl>
    <w:p>
      <w:pPr>
        <w:pStyle w:val="Body"/>
        <w:jc w:val="both"/>
        <w:rPr/>
      </w:pPr>
      <w:r>
        <w:rPr/>
      </w:r>
      <w:bookmarkStart w:id="1" w:name="StartOfMemo"/>
      <w:bookmarkStart w:id="2" w:name="StartOfMemo"/>
      <w:bookmarkEnd w:id="2"/>
    </w:p>
    <w:p>
      <w:pPr>
        <w:pStyle w:val="Body"/>
        <w:jc w:val="both"/>
        <w:rPr/>
      </w:pPr>
      <w:r>
        <w:rPr/>
      </w:r>
    </w:p>
    <w:p>
      <w:pPr>
        <w:pStyle w:val="Department"/>
        <w:jc w:val="both"/>
        <w:rPr/>
      </w:pPr>
      <w:r>
        <w:rPr/>
        <w:t>Attached is a copy of the NERC Confidentiality Agreement that has been executed by Enron - SE Corp., our control area company.  This agreement precludes the sharing of “Electric System Security Data” with Enron Power Marketing, Inc. for eight days from the receipt of such data (See 3.5).  A list of the Security Data is attached.  The Security Data is available via the link to the Interregional Security Network (ISN).  The control area operators (Bill Rust and Lloyd Will) have access to this data via the Alstom ESCA energy management system.  All other computers are precluded from receiving this Security Data by the firewall system.  I have also enclosed two memos that discuss specific data and the sharing limitations.</w:t>
      </w:r>
    </w:p>
    <w:p>
      <w:pPr>
        <w:pStyle w:val="Department"/>
        <w:jc w:val="both"/>
        <w:rPr/>
      </w:pPr>
      <w:r>
        <w:rPr/>
      </w:r>
    </w:p>
    <w:p>
      <w:pPr>
        <w:pStyle w:val="Department"/>
        <w:jc w:val="both"/>
        <w:rPr/>
      </w:pPr>
      <w:r>
        <w:rPr/>
        <w:t xml:space="preserve">It is imperative that everyone working in Enron - SE Corp. read the attachments and comply with the restrictions.  </w:t>
      </w:r>
    </w:p>
    <w:p>
      <w:pPr>
        <w:pStyle w:val="Department"/>
        <w:jc w:val="both"/>
        <w:rPr/>
      </w:pPr>
      <w:r>
        <w:rPr/>
      </w:r>
    </w:p>
    <w:p>
      <w:pPr>
        <w:pStyle w:val="Department"/>
        <w:jc w:val="both"/>
        <w:rPr/>
      </w:pPr>
      <w:r>
        <w:rPr/>
      </w:r>
    </w:p>
    <w:p>
      <w:pPr>
        <w:pStyle w:val="Department"/>
        <w:jc w:val="both"/>
        <w:rPr/>
      </w:pPr>
      <w:r>
        <w:rPr/>
        <w:t>cc:</w:t>
        <w:tab/>
        <w:t>James Fallon</w:t>
      </w:r>
    </w:p>
    <w:p>
      <w:pPr>
        <w:pStyle w:val="Department"/>
        <w:jc w:val="both"/>
        <w:rPr/>
      </w:pPr>
      <w:r>
        <w:rPr/>
        <w:tab/>
        <w:t>Kevin Presto</w:t>
      </w:r>
    </w:p>
    <w:p>
      <w:pPr>
        <w:pStyle w:val="Department"/>
        <w:jc w:val="both"/>
        <w:rPr/>
      </w:pPr>
      <w:r>
        <w:rPr/>
        <w:tab/>
        <w:t>Bill Rust</w:t>
      </w:r>
    </w:p>
    <w:p>
      <w:pPr>
        <w:pStyle w:val="Department"/>
        <w:jc w:val="both"/>
        <w:rPr/>
      </w:pPr>
      <w:r>
        <w:rPr/>
        <w:tab/>
        <w:t>Lloyd Will</w:t>
      </w:r>
    </w:p>
    <w:p>
      <w:pPr>
        <w:pStyle w:val="Department"/>
        <w:jc w:val="both"/>
        <w:rPr/>
      </w:pPr>
      <w:r>
        <w:rPr/>
        <w:tab/>
        <w:t>Rogers Herndon</w:t>
      </w:r>
    </w:p>
    <w:p>
      <w:pPr>
        <w:pStyle w:val="Department"/>
        <w:jc w:val="both"/>
        <w:rPr/>
      </w:pPr>
      <w:r>
        <w:rPr/>
        <w:tab/>
        <w:t>Deb Norman</w:t>
      </w:r>
    </w:p>
    <w:p>
      <w:pPr>
        <w:pStyle w:val="Department"/>
        <w:jc w:val="both"/>
        <w:rPr/>
      </w:pPr>
      <w:r>
        <w:rPr/>
        <w:tab/>
        <w:t>Jim Homco</w:t>
      </w:r>
    </w:p>
    <w:p>
      <w:pPr>
        <w:pStyle w:val="Department"/>
        <w:jc w:val="both"/>
        <w:rPr/>
      </w:pPr>
      <w:r>
        <w:rPr/>
        <w:tab/>
        <w:t>Agatha Andraczke</w:t>
      </w:r>
    </w:p>
    <w:p>
      <w:pPr>
        <w:pStyle w:val="Department"/>
        <w:jc w:val="both"/>
        <w:rPr/>
      </w:pPr>
      <w:r>
        <w:rPr/>
      </w:r>
    </w:p>
    <w:p>
      <w:pPr>
        <w:pStyle w:val="Department"/>
        <w:jc w:val="both"/>
        <w:rPr/>
      </w:pPr>
      <w:r>
        <w:rPr/>
        <w:tab/>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szCs w:val="16"/>
      </w:rPr>
    </w:pPr>
    <w:r>
      <w:rPr>
        <w:b/>
        <w:bCs/>
        <w:sz w:val="16"/>
        <w:szCs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eastAsia="Arial" w:cs="Arial"/>
      <w:sz w:val="20"/>
      <w:szCs w:val="20"/>
    </w:rPr>
  </w:style>
  <w:style w:type="paragraph" w:styleId="Body">
    <w:name w:val="Body"/>
    <w:basedOn w:val="Normal"/>
    <w:qFormat/>
    <w:pPr>
      <w:tabs>
        <w:tab w:val="clear" w:pos="540"/>
      </w:tabs>
      <w:ind w:hanging="0" w:start="72" w:end="0"/>
    </w:pPr>
    <w:rPr>
      <w:rFonts w:ascii="Arial" w:hAnsi="Arial" w:eastAsia="Arial" w:cs="Arial"/>
      <w:color w:val="000080"/>
      <w:sz w:val="20"/>
      <w:szCs w:val="20"/>
    </w:rPr>
  </w:style>
  <w:style w:type="paragraph" w:styleId="Department">
    <w:name w:val="Department"/>
    <w:basedOn w:val="Normal"/>
    <w:qFormat/>
    <w:pPr>
      <w:tabs>
        <w:tab w:val="clear" w:pos="540"/>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1999-05-17T19:23:00Z</dcterms:created>
  <dc:creator>Jeff Ford</dc:creator>
  <dc:description/>
  <dc:language>en-CA</dc:language>
  <cp:lastModifiedBy>appinst</cp:lastModifiedBy>
  <cp:lastPrinted>1999-05-18T13:23:00Z</cp:lastPrinted>
  <dcterms:modified xsi:type="dcterms:W3CDTF">1999-05-18T18:20:00Z</dcterms:modified>
  <cp:revision>4</cp:revision>
  <dc:subject/>
  <dc:title>Eron Capital &amp; Trade Resources Memo</dc:title>
</cp:coreProperties>
</file>