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rFonts w:ascii="Times New Roman" w:hAnsi="Times New Roman" w:cs="Times New Roman"/>
        </w:rPr>
      </w:pPr>
      <w:r>
        <w:rPr>
          <w:rFonts w:cs="Times New Roman" w:ascii="Times New Roman" w:hAnsi="Times New Roman"/>
        </w:rPr>
        <w:t>UNITED STATES OF AMERICA</w:t>
      </w:r>
    </w:p>
    <w:p>
      <w:pPr>
        <w:pStyle w:val="Normal"/>
        <w:jc w:val="center"/>
        <w:rPr>
          <w:b/>
        </w:rPr>
      </w:pPr>
      <w:r>
        <w:rPr>
          <w:b/>
        </w:rPr>
        <w:t>FEDERAL ENERGY REGULATORY COMMISSION</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tbl>
      <w:tblPr>
        <w:tblW w:w="9018" w:type="dxa"/>
        <w:jc w:val="start"/>
        <w:tblInd w:w="0" w:type="dxa"/>
        <w:tblLayout w:type="fixed"/>
        <w:tblCellMar>
          <w:top w:w="0" w:type="dxa"/>
          <w:start w:w="108" w:type="dxa"/>
          <w:bottom w:w="0" w:type="dxa"/>
          <w:end w:w="108" w:type="dxa"/>
        </w:tblCellMar>
      </w:tblPr>
      <w:tblGrid>
        <w:gridCol w:w="5148"/>
        <w:gridCol w:w="756"/>
        <w:gridCol w:w="3114"/>
      </w:tblGrid>
      <w:tr>
        <w:trPr/>
        <w:tc>
          <w:tcPr>
            <w:tcW w:w="5148" w:type="dxa"/>
            <w:tcBorders/>
          </w:tcPr>
          <w:p>
            <w:pPr>
              <w:pStyle w:val="Normal"/>
              <w:rPr>
                <w:b/>
              </w:rPr>
            </w:pPr>
            <w:r>
              <w:rPr>
                <w:b/>
              </w:rPr>
              <w:t>San Diego Gas &amp; Electric Company,</w:t>
            </w:r>
          </w:p>
          <w:p>
            <w:pPr>
              <w:pStyle w:val="Normal"/>
              <w:rPr>
                <w:b/>
              </w:rPr>
            </w:pPr>
            <w:r>
              <w:rPr>
                <w:b/>
              </w:rPr>
            </w:r>
          </w:p>
          <w:p>
            <w:pPr>
              <w:pStyle w:val="Normal"/>
              <w:rPr>
                <w:b/>
              </w:rPr>
            </w:pPr>
            <w:r>
              <w:rPr>
                <w:b/>
              </w:rPr>
              <w:tab/>
              <w:tab/>
              <w:tab/>
              <w:tab/>
              <w:t>Complainant,</w:t>
            </w:r>
          </w:p>
          <w:p>
            <w:pPr>
              <w:pStyle w:val="Normal"/>
              <w:rPr>
                <w:b/>
              </w:rPr>
            </w:pPr>
            <w:r>
              <w:rPr>
                <w:b/>
              </w:rPr>
            </w:r>
          </w:p>
          <w:p>
            <w:pPr>
              <w:pStyle w:val="Normal"/>
              <w:rPr>
                <w:b/>
              </w:rPr>
            </w:pPr>
            <w:r>
              <w:rPr>
                <w:b/>
              </w:rPr>
              <w:tab/>
              <w:tab/>
              <w:tab/>
              <w:t>v.</w:t>
            </w:r>
          </w:p>
          <w:p>
            <w:pPr>
              <w:pStyle w:val="Normal"/>
              <w:rPr>
                <w:b/>
              </w:rPr>
            </w:pPr>
            <w:r>
              <w:rPr>
                <w:b/>
              </w:rPr>
            </w:r>
          </w:p>
          <w:p>
            <w:pPr>
              <w:pStyle w:val="Normal"/>
              <w:rPr>
                <w:b/>
              </w:rPr>
            </w:pPr>
            <w:r>
              <w:rPr>
                <w:b/>
              </w:rPr>
              <w:t>Sellers of Energy and Ancillary Service</w:t>
            </w:r>
          </w:p>
          <w:p>
            <w:pPr>
              <w:pStyle w:val="Normal"/>
              <w:rPr>
                <w:b/>
              </w:rPr>
            </w:pPr>
            <w:r>
              <w:rPr>
                <w:b/>
              </w:rPr>
              <w:t>Into Markets Operated by the California Independent System Operator</w:t>
            </w:r>
          </w:p>
          <w:p>
            <w:pPr>
              <w:pStyle w:val="Normal"/>
              <w:rPr>
                <w:b/>
              </w:rPr>
            </w:pPr>
            <w:r>
              <w:rPr>
                <w:b/>
              </w:rPr>
              <w:t>Corporation and the California Power</w:t>
            </w:r>
          </w:p>
          <w:p>
            <w:pPr>
              <w:pStyle w:val="Normal"/>
              <w:rPr>
                <w:b/>
              </w:rPr>
            </w:pPr>
            <w:r>
              <w:rPr>
                <w:b/>
              </w:rPr>
              <w:t>Exchange,</w:t>
            </w:r>
          </w:p>
          <w:p>
            <w:pPr>
              <w:pStyle w:val="Normal"/>
              <w:rPr>
                <w:b/>
              </w:rPr>
            </w:pPr>
            <w:r>
              <w:rPr>
                <w:b/>
              </w:rPr>
            </w:r>
          </w:p>
          <w:p>
            <w:pPr>
              <w:pStyle w:val="Normal"/>
              <w:rPr>
                <w:b/>
              </w:rPr>
            </w:pPr>
            <w:r>
              <w:rPr>
                <w:b/>
              </w:rPr>
              <w:tab/>
              <w:tab/>
              <w:tab/>
              <w:tab/>
              <w:t>Respondents</w:t>
            </w:r>
          </w:p>
          <w:p>
            <w:pPr>
              <w:pStyle w:val="Normal"/>
              <w:rPr>
                <w:b/>
              </w:rPr>
            </w:pPr>
            <w:r>
              <w:rPr>
                <w:b/>
              </w:rPr>
            </w:r>
          </w:p>
          <w:p>
            <w:pPr>
              <w:pStyle w:val="Normal"/>
              <w:rPr>
                <w:b/>
              </w:rPr>
            </w:pPr>
            <w:r>
              <w:rPr>
                <w:b/>
              </w:rPr>
              <w:t>Investigation of Practices of the California</w:t>
            </w:r>
          </w:p>
          <w:p>
            <w:pPr>
              <w:pStyle w:val="Normal"/>
              <w:rPr>
                <w:b/>
              </w:rPr>
            </w:pPr>
            <w:r>
              <w:rPr>
                <w:b/>
              </w:rPr>
              <w:t>Independent  System Operator and the</w:t>
            </w:r>
          </w:p>
          <w:p>
            <w:pPr>
              <w:pStyle w:val="Normal"/>
              <w:rPr>
                <w:b/>
              </w:rPr>
            </w:pPr>
            <w:r>
              <w:rPr>
                <w:b/>
              </w:rPr>
              <w:t>California Power Exchange</w:t>
            </w:r>
          </w:p>
          <w:p>
            <w:pPr>
              <w:pStyle w:val="Normal"/>
              <w:rPr>
                <w:b/>
              </w:rPr>
            </w:pPr>
            <w:r>
              <w:rPr>
                <w:b/>
              </w:rPr>
              <w:t>____________________________________</w:t>
            </w:r>
          </w:p>
        </w:tc>
        <w:tc>
          <w:tcPr>
            <w:tcW w:w="756" w:type="dxa"/>
            <w:tcBorders/>
          </w:tcPr>
          <w:p>
            <w:pPr>
              <w:pStyle w:val="Normal"/>
              <w:rPr>
                <w:b/>
              </w:rPr>
            </w:pPr>
            <w:r>
              <w:rPr>
                <w:b/>
              </w:rPr>
              <w:t>)</w:t>
            </w:r>
          </w:p>
          <w:p>
            <w:pPr>
              <w:pStyle w:val="Normal"/>
              <w:rPr>
                <w:b/>
              </w:rPr>
            </w:pPr>
            <w:r>
              <w:rPr>
                <w:b/>
              </w:rPr>
              <w:t>)</w:t>
              <w:br/>
              <w:t>)</w:t>
              <w:br/>
              <w:t>)</w:t>
              <w:br/>
              <w:t>)</w:t>
              <w:br/>
              <w:t>)</w:t>
              <w:br/>
              <w:t>)</w:t>
              <w:br/>
              <w:t>)</w:t>
              <w:br/>
              <w:t>)</w:t>
              <w:br/>
              <w:t>)</w:t>
              <w:br/>
              <w:t>)</w:t>
              <w:br/>
              <w:t>)</w:t>
              <w:br/>
              <w:t>)</w:t>
            </w:r>
          </w:p>
          <w:p>
            <w:pPr>
              <w:pStyle w:val="Normal"/>
              <w:rPr>
                <w:b/>
              </w:rPr>
            </w:pPr>
            <w:r>
              <w:rPr>
                <w:b/>
              </w:rPr>
              <w:t>)</w:t>
            </w:r>
          </w:p>
          <w:p>
            <w:pPr>
              <w:pStyle w:val="Normal"/>
              <w:rPr>
                <w:b/>
              </w:rPr>
            </w:pPr>
            <w:r>
              <w:rPr>
                <w:b/>
              </w:rPr>
              <w:t>)</w:t>
            </w:r>
          </w:p>
          <w:p>
            <w:pPr>
              <w:pStyle w:val="Normal"/>
              <w:rPr>
                <w:b/>
              </w:rPr>
            </w:pPr>
            <w:r>
              <w:rPr>
                <w:b/>
              </w:rPr>
              <w:t>)</w:t>
            </w:r>
          </w:p>
          <w:p>
            <w:pPr>
              <w:pStyle w:val="Normal"/>
              <w:rPr>
                <w:b/>
              </w:rPr>
            </w:pPr>
            <w:r>
              <w:rPr>
                <w:b/>
              </w:rPr>
              <w:t>)</w:t>
            </w:r>
          </w:p>
        </w:tc>
        <w:tc>
          <w:tcPr>
            <w:tcW w:w="3114" w:type="dxa"/>
            <w:tcBorders/>
          </w:tcPr>
          <w:p>
            <w:pPr>
              <w:pStyle w:val="Normal"/>
              <w:rPr>
                <w:b/>
              </w:rPr>
            </w:pPr>
            <w:r>
              <w:rPr>
                <w:b/>
              </w:rPr>
              <w:t>Docket No. EL00-95-045</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Docket No. EL00-98-042</w:t>
            </w:r>
          </w:p>
        </w:tc>
      </w:tr>
    </w:tbl>
    <w:p>
      <w:pPr>
        <w:pStyle w:val="Normal"/>
        <w:rPr>
          <w:b/>
        </w:rPr>
      </w:pPr>
      <w:r>
        <w:rPr>
          <w:b/>
        </w:rPr>
      </w:r>
    </w:p>
    <w:p>
      <w:pPr>
        <w:pStyle w:val="Heading1"/>
        <w:ind w:hanging="0" w:start="0"/>
        <w:jc w:val="center"/>
        <w:rPr>
          <w:rFonts w:ascii="Times New Roman" w:hAnsi="Times New Roman" w:cs="Times New Roman"/>
        </w:rPr>
      </w:pPr>
      <w:r>
        <w:rPr>
          <w:rFonts w:cs="Times New Roman" w:ascii="Times New Roman" w:hAnsi="Times New Roman"/>
        </w:rPr>
        <w:t xml:space="preserve">AFFIDAVIT OF </w:t>
      </w:r>
    </w:p>
    <w:p>
      <w:pPr>
        <w:pStyle w:val="Normal"/>
        <w:jc w:val="center"/>
        <w:rPr>
          <w:b/>
        </w:rPr>
      </w:pPr>
      <w:r>
        <w:rPr>
          <w:b/>
        </w:rPr>
        <w:t>DOUGLAS CALVERT</w:t>
      </w:r>
    </w:p>
    <w:p>
      <w:pPr>
        <w:pStyle w:val="Normal"/>
        <w:jc w:val="center"/>
        <w:rPr>
          <w:b/>
        </w:rPr>
      </w:pPr>
      <w:r>
        <w:rPr>
          <w:b/>
        </w:rPr>
        <w:t>ON BEHALF OF</w:t>
      </w:r>
    </w:p>
    <w:p>
      <w:pPr>
        <w:pStyle w:val="Normal"/>
        <w:jc w:val="center"/>
        <w:rPr>
          <w:b/>
        </w:rPr>
      </w:pPr>
      <w:r>
        <w:rPr>
          <w:b/>
        </w:rPr>
        <w:t>THE SACRAMENTO MUNICIPAL UTILITY DISTRICT</w:t>
      </w:r>
    </w:p>
    <w:p>
      <w:pPr>
        <w:pStyle w:val="Normal"/>
        <w:jc w:val="center"/>
        <w:rPr>
          <w:b/>
        </w:rPr>
      </w:pPr>
      <w:r>
        <w:rPr>
          <w:b/>
        </w:rPr>
      </w:r>
    </w:p>
    <w:p>
      <w:pPr>
        <w:pStyle w:val="Normal"/>
        <w:spacing w:lineRule="auto" w:line="480"/>
        <w:rPr/>
      </w:pPr>
      <w:r>
        <w:rPr>
          <w:b/>
        </w:rPr>
        <w:tab/>
      </w:r>
      <w:r>
        <w:rPr/>
        <w:t>I, Douglas H. Calvert, being duly sworn, hereby depose and say that the following is true and correct to the best of my knowledge, information, and belief:</w:t>
      </w:r>
    </w:p>
    <w:p>
      <w:pPr>
        <w:pStyle w:val="Normal"/>
        <w:spacing w:lineRule="auto" w:line="480"/>
        <w:rPr/>
      </w:pPr>
      <w:r>
        <w:rPr/>
      </w:r>
    </w:p>
    <w:p>
      <w:pPr>
        <w:pStyle w:val="Normal"/>
        <w:numPr>
          <w:ilvl w:val="0"/>
          <w:numId w:val="2"/>
        </w:numPr>
        <w:spacing w:lineRule="auto" w:line="480"/>
        <w:rPr/>
      </w:pPr>
      <w:r>
        <w:rPr/>
        <w:t>My name is Douglas H. Calvert and I am the Manager, System Operations and Reliability for the Sacramento Municipal Utility District (“SMUD”) located at 6201 S Street, Sacramento, California, 95817.  I have 32 years of electric utility experience of which 25 years have been in the development and management of Energy Control Centers for the purpose of ensuring a reliable and economical energy supply to the customer/owners of the companies of which I was employed.</w:t>
      </w:r>
    </w:p>
    <w:p>
      <w:pPr>
        <w:pStyle w:val="Normal"/>
        <w:numPr>
          <w:ilvl w:val="0"/>
          <w:numId w:val="2"/>
        </w:numPr>
        <w:spacing w:lineRule="auto" w:line="480"/>
        <w:rPr/>
      </w:pPr>
      <w:r>
        <w:rPr/>
        <w:t xml:space="preserve">I have been working at SMUD since December, 1997.  In my capacity as Manager, System Operations and Reliability for SMUD, I am responsible for </w:t>
      </w:r>
      <w:r>
        <w:rPr>
          <w:rFonts w:cs="CG Times" w:ascii="CG Times" w:hAnsi="CG Times"/>
        </w:rPr>
        <w:t xml:space="preserve">optimizing real time system operations to provide a reliable, economical power supply to SMUD’s Customer/Owners. On a day-to-day basis, my duties include providing overall management and direction of Power System Operations Engineers, Power System Planning Engineers, Power System Operators, System Protection and Control and the Operations Management System Groups. </w:t>
      </w:r>
    </w:p>
    <w:p>
      <w:pPr>
        <w:pStyle w:val="Normal"/>
        <w:numPr>
          <w:ilvl w:val="0"/>
          <w:numId w:val="2"/>
        </w:numPr>
        <w:spacing w:lineRule="auto" w:line="480"/>
        <w:rPr/>
      </w:pPr>
      <w:r>
        <w:rPr/>
        <w:t>On December 14, 2000 and January 11, 2001, the Secretary of the U.S. Department of Energy (“DOE”) issued orders under Section 202(c) of the Federal Power Act.  The Orders required parties to sell excess electricity to the California Independent System Operator (“ISO”) in an effort to alleviate California’s shortage of electric energy.  The DOE Orders were in effect for the period of December 14, 2000 to February 7, 2001.</w:t>
      </w:r>
    </w:p>
    <w:p>
      <w:pPr>
        <w:pStyle w:val="Normal"/>
        <w:numPr>
          <w:ilvl w:val="0"/>
          <w:numId w:val="2"/>
        </w:numPr>
        <w:spacing w:lineRule="auto" w:line="480"/>
        <w:rPr/>
      </w:pPr>
      <w:r>
        <w:rPr/>
        <w:t xml:space="preserve">Following the issuance of the DOE Orders, the California ISO initiated regular conference calls with transmission owners (“TOs”)  and load-serving entities (“LSEs”) to inform us of the status of the ISO’s ability to maintain reliability of the transmission grid. In addition to the ISO and SMUD, representatives of Southern California Edison, Pacific Gas &amp; Electric, San Diego Gas &amp; Electric, Los Angeles Department of Water and Power, Turlock Irrigation District, Modesto Irrigation District, Northern California Power Agency, the City of Santa Clara, the California Public Utilities Commission, and other municipal utilities regularly participated in the calls.  The conference calls were held nearly daily and occurred whenever the ISO felt that the state was in danger of experiencing a resource deficiency that might  result in rotating outages.  The calls would normally begin at 7:00 a.m., PST, and based on the severity of the expected deficiency, would be reconvened several times throughout the day to notify the TOs and LSEs of the status of the ISO’s expected reserve margins..  The ISO would initiate calls with TOs and LSEs  in order to apprise the parties of the likelihood or risk of a black-out.  The calls were initiated by Staff of the ISO’s Operations Department and normally involved Jim Detmers, Vice President Operations for the ISO, Jim Mc Intosh ,  and Ed Riley also of the ISO.   These  ISO employees are primarily responsible  for  procuring sufficient power to meet load and meet reserve requirements  and monitoring and providing for system reliability of the ISO Control Area.  </w:t>
      </w:r>
    </w:p>
    <w:p>
      <w:pPr>
        <w:pStyle w:val="Normal"/>
        <w:numPr>
          <w:ilvl w:val="0"/>
          <w:numId w:val="2"/>
        </w:numPr>
        <w:spacing w:lineRule="auto" w:line="480"/>
        <w:rPr/>
      </w:pPr>
      <w:r>
        <w:rPr/>
        <w:t xml:space="preserve">During many of these conference calls, the ISO staff reminded the participants of their obligation to provide all excess generation to the ISO pursuant to the DOE Orders.  As a result, SMUD accepted that the daily conference calls were the mechanism to inform SMUD and other participants on the calls that the ISO was invoking its authority under the DOE Orders to require parties to sell excess energy to the ISO.  The DOE Orders required notice to be provided by 9 p.m. EST the day before the ISO requested service.  The ISO Certifications issued in accordance with the DOE Orders stated that “the entities listed in Attachment A to the December 14, 2000 DOE Order will be provided copies of the signed certification via email and fax, at the same time it is provided to DOE.” </w:t>
      </w:r>
      <w:r>
        <w:rPr>
          <w:i/>
        </w:rPr>
        <w:t>(See Certification of the California Independent System Operator, February 5, 2001 for February 6, 2001</w:t>
      </w:r>
      <w:r>
        <w:rPr/>
        <w:t xml:space="preserve">, Exh. No. ISO-13).  Contrary to the ISO’s statements in the certifications, SMUD </w:t>
      </w:r>
      <w:r>
        <w:rPr>
          <w:i/>
        </w:rPr>
        <w:t>did not</w:t>
      </w:r>
      <w:r>
        <w:rPr/>
        <w:t xml:space="preserve"> receive routine notices by fax or e-mail of each of the ISO’s calls for certification.  Instead, SMUD generally received its notice through the ISO conference phone calls.  SMUD system operators received few notices of ISO certification calls by e-mail and SMUD never received such notices by fax.  Therefore, both SMUD operations and presumably the ISO Operations Staff operated with the understanding that the notice of ISO certification days was provided during the daily calls, and when the ISO requested all excess electricity be provided, it was understood the ISO was acting under the authority of the DOE Orders.   </w:t>
      </w:r>
    </w:p>
    <w:p>
      <w:pPr>
        <w:pStyle w:val="Normal"/>
        <w:numPr>
          <w:ilvl w:val="0"/>
          <w:numId w:val="2"/>
        </w:numPr>
        <w:spacing w:lineRule="auto" w:line="480"/>
        <w:rPr/>
      </w:pPr>
      <w:r>
        <w:rPr/>
        <w:t xml:space="preserve">Generally, when the ISO notified the parties on the conference calls that excess generation must be provided to the ISO, the ISO informed the parties that they were required, under the DOE Orders, to provide all excess electricity to the ISO in order to avoid a black-out.  Because the DOE Orders obligated SMUD to provide excess energy to the ISO upon its request, SMUD complied with the ISO’s invocation of the DOE Orders and provided available excess electricity to the ISO when the ISO requested.   </w:t>
      </w:r>
    </w:p>
    <w:p>
      <w:pPr>
        <w:pStyle w:val="Normal"/>
        <w:numPr>
          <w:ilvl w:val="0"/>
          <w:numId w:val="2"/>
        </w:numPr>
        <w:spacing w:lineRule="auto" w:line="480"/>
        <w:rPr/>
      </w:pPr>
      <w:r>
        <w:rPr/>
        <w:t xml:space="preserve">On the days where the ISO notified parties during the daily conference calls that excess power was requested by the ISO pursuant to the DOE Orders, SMUD worked through Pacific Gas and Electric Company as the Scheduling Coordinator to provide electricity in excess of SMUD’s native load requirements to the ISO.  Indeed, the initials of the operators on the log entries included in Exhibit SMD-4 for sales to the ISO are initials of SMUD operators who provided power through PG&amp;E for sale to the ISO under the DOE Orders.  In addition, the respective log entries identify the PG&amp;E or ISO employee involved in the sale of SMUD’s excess energy to the ISO pursuant to the DOE Orders.  Following notification to participants by the ISO that it would require all excess electricity, SMUD schedulers would fax to PG&amp;E SMUD’s expected available electricity for the next day.  Since the ISO experienced resource deficiencies nearly daily between December 14, 2000 and February 7, 2001,   SMUD’s Schedulers established a procedure to assist the ISO in planning for available resources whereby  SMUD would fax its expected surplus resources to the ISO daily regardless of the statewide energy situation. When the ISO invoked the DOE Orders, normally PG&amp;E, and in few instances the ISO, would contact SMUD’s operators in real-time to notify SMUD that the ISO was taking SMUD’s excess electricity pursuant to the Orders. </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Exh. SMD-3</w:t>
    </w:r>
  </w:p>
  <w:p>
    <w:pPr>
      <w:pStyle w:val="Header"/>
      <w:jc w:val="end"/>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5</w:t>
    </w:r>
    <w:r>
      <w:rPr>
        <w:lang w:eastAsia="en-U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sz w:val="26"/>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2"/>
    </w:rPr>
  </w:style>
  <w:style w:type="paragraph" w:styleId="Heading5">
    <w:name w:val="heading 5"/>
    <w:basedOn w:val="Normal"/>
    <w:next w:val="Normal"/>
    <w:qFormat/>
    <w:pPr>
      <w:numPr>
        <w:ilvl w:val="4"/>
        <w:numId w:val="1"/>
      </w:numPr>
      <w:spacing w:before="240" w:after="60"/>
      <w:outlineLvl w:val="4"/>
    </w:pPr>
    <w:rPr>
      <w:rFonts w:ascii="Arial" w:hAnsi="Arial" w:cs="Arial"/>
      <w:b/>
      <w:i/>
      <w:sz w:val="22"/>
    </w:rPr>
  </w:style>
  <w:style w:type="paragraph" w:styleId="Heading6">
    <w:name w:val="heading 6"/>
    <w:basedOn w:val="Normal"/>
    <w:next w:val="Normal"/>
    <w:qFormat/>
    <w:pPr>
      <w:numPr>
        <w:ilvl w:val="5"/>
        <w:numId w:val="1"/>
      </w:numPr>
      <w:spacing w:before="240" w:after="60"/>
      <w:outlineLvl w:val="5"/>
    </w:pPr>
    <w:rPr>
      <w:rFonts w:ascii="Arial Narrow" w:hAnsi="Arial Narrow" w:cs="Arial Narrow"/>
      <w:b/>
      <w:sz w:val="22"/>
    </w:rPr>
  </w:style>
  <w:style w:type="paragraph" w:styleId="Heading7">
    <w:name w:val="heading 7"/>
    <w:basedOn w:val="Normal"/>
    <w:next w:val="Normal"/>
    <w:qFormat/>
    <w:pPr>
      <w:numPr>
        <w:ilvl w:val="6"/>
        <w:numId w:val="1"/>
      </w:numPr>
      <w:spacing w:before="240" w:after="60"/>
      <w:outlineLvl w:val="6"/>
    </w:pPr>
    <w:rPr>
      <w:rFonts w:ascii="Arial Narrow" w:hAnsi="Arial Narrow" w:cs="Arial Narrow"/>
      <w:b/>
      <w:i/>
      <w:sz w:val="22"/>
    </w:rPr>
  </w:style>
  <w:style w:type="paragraph" w:styleId="Heading8">
    <w:name w:val="heading 8"/>
    <w:basedOn w:val="Normal"/>
    <w:next w:val="Normal"/>
    <w:qFormat/>
    <w:pPr>
      <w:numPr>
        <w:ilvl w:val="7"/>
        <w:numId w:val="1"/>
      </w:numPr>
      <w:spacing w:before="240" w:after="60"/>
      <w:outlineLvl w:val="7"/>
    </w:pPr>
    <w:rPr>
      <w:rFonts w:ascii="Arial Narrow" w:hAnsi="Arial Narrow" w:cs="Arial Narrow"/>
      <w:b/>
      <w:sz w:val="20"/>
    </w:rPr>
  </w:style>
  <w:style w:type="paragraph" w:styleId="Heading9">
    <w:name w:val="heading 9"/>
    <w:basedOn w:val="Normal"/>
    <w:next w:val="Normal"/>
    <w:qFormat/>
    <w:pPr>
      <w:numPr>
        <w:ilvl w:val="8"/>
        <w:numId w:val="1"/>
      </w:numPr>
      <w:spacing w:before="240" w:after="60"/>
      <w:outlineLvl w:val="8"/>
    </w:pPr>
    <w:rPr>
      <w:rFonts w:ascii="Arial Narrow" w:hAnsi="Arial Narrow" w:cs="Arial Narrow"/>
      <w:b/>
      <w:i/>
      <w:sz w:val="20"/>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FootnoteText">
    <w:name w:val="footnote text"/>
    <w:basedOn w:val="Normal"/>
    <w:pPr/>
    <w:rPr>
      <w:sz w:val="20"/>
    </w:rPr>
  </w:style>
  <w:style w:type="paragraph" w:styleId="FileNameHidden">
    <w:name w:val="FileNameHidden"/>
    <w:basedOn w:val="Normal"/>
    <w:qFormat/>
    <w:pPr/>
    <w:rPr>
      <w:vanish/>
      <w:sz w:val="16"/>
      <w:lang w:val="en-CA"/>
    </w:rPr>
  </w:style>
  <w:style w:type="paragraph" w:styleId="FileNameVisible">
    <w:name w:val="FileNameVisible"/>
    <w:basedOn w:val="Normal"/>
    <w:qFormat/>
    <w:pPr/>
    <w:rPr>
      <w:sz w:val="16"/>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2001-11-06T23:21:00Z</dcterms:created>
  <dc:creator>048</dc:creator>
  <dc:description/>
  <dc:language>en-CA</dc:language>
  <cp:lastModifiedBy>048</cp:lastModifiedBy>
  <cp:lastPrinted>2001-11-06T13:17:00Z</cp:lastPrinted>
  <dcterms:modified xsi:type="dcterms:W3CDTF">2001-11-06T23:21:00Z</dcterms:modified>
  <cp:revision>2</cp:revision>
  <dc:subject/>
  <dc:title>UNITED STATES OF AMERICA</dc:title>
</cp:coreProperties>
</file>