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caps/>
        </w:rPr>
      </w:pPr>
      <w:r>
        <w:rPr>
          <w:rFonts w:cs="Times New Roman" w:ascii="Times New Roman" w:hAnsi="Times New Roman"/>
          <w:caps/>
        </w:rPr>
        <w:t>WHITWELL &amp; EMHOFF LLP</w:t>
      </w:r>
    </w:p>
    <w:p>
      <w:pPr>
        <w:pStyle w:val="BodyText"/>
        <w:rPr>
          <w:rFonts w:ascii="Times New Roman" w:hAnsi="Times New Roman" w:cs="Times New Roman"/>
        </w:rPr>
      </w:pPr>
      <w:r>
        <w:rPr>
          <w:rFonts w:cs="Times New Roman" w:ascii="Times New Roman" w:hAnsi="Times New Roman"/>
        </w:rPr>
        <w:t>BEN D. WHITWELL (Cal. Bar No. 138426)</w:t>
      </w:r>
    </w:p>
    <w:p>
      <w:pPr>
        <w:pStyle w:val="BodyText"/>
        <w:rPr>
          <w:rFonts w:ascii="Times New Roman" w:hAnsi="Times New Roman" w:cs="Times New Roman"/>
          <w:caps/>
        </w:rPr>
      </w:pPr>
      <w:r>
        <w:rPr>
          <w:rFonts w:cs="Times New Roman" w:ascii="Times New Roman" w:hAnsi="Times New Roman"/>
        </w:rPr>
        <w:t>JEFFREY M. TANZER (Cal. Bar No. 129437)</w:t>
      </w:r>
    </w:p>
    <w:p>
      <w:pPr>
        <w:pStyle w:val="BodyText"/>
        <w:rPr>
          <w:rFonts w:ascii="Times New Roman" w:hAnsi="Times New Roman" w:cs="Times New Roman"/>
        </w:rPr>
      </w:pPr>
      <w:r>
        <w:rPr>
          <w:rFonts w:cs="Times New Roman" w:ascii="Times New Roman" w:hAnsi="Times New Roman"/>
        </w:rPr>
        <w:t>202 N. Canon Drive</w:t>
      </w:r>
    </w:p>
    <w:p>
      <w:pPr>
        <w:pStyle w:val="BodyText"/>
        <w:rPr>
          <w:rFonts w:ascii="Times New Roman" w:hAnsi="Times New Roman" w:cs="Times New Roman"/>
        </w:rPr>
      </w:pPr>
      <w:r>
        <w:rPr>
          <w:rFonts w:cs="Times New Roman" w:ascii="Times New Roman" w:hAnsi="Times New Roman"/>
        </w:rPr>
        <w:t>Beverly Hills, CA  90210</w:t>
      </w:r>
    </w:p>
    <w:p>
      <w:pPr>
        <w:pStyle w:val="BodyText"/>
        <w:rPr>
          <w:rFonts w:ascii="Times New Roman" w:hAnsi="Times New Roman" w:cs="Times New Roman"/>
        </w:rPr>
      </w:pPr>
      <w:r>
        <w:rPr>
          <w:rFonts w:cs="Times New Roman" w:ascii="Times New Roman" w:hAnsi="Times New Roman"/>
        </w:rPr>
        <w:t>Telephone:  310/887-4420</w:t>
      </w:r>
    </w:p>
    <w:p>
      <w:pPr>
        <w:pStyle w:val="BodyText"/>
        <w:rPr>
          <w:rFonts w:ascii="Times New Roman" w:hAnsi="Times New Roman" w:cs="Times New Roman"/>
        </w:rPr>
      </w:pPr>
      <w:r>
        <w:rPr>
          <w:rFonts w:cs="Times New Roman" w:ascii="Times New Roman" w:hAnsi="Times New Roman"/>
        </w:rPr>
        <w:t>Facsimile:   310/274-9910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Attorneys for Defendant</w:t>
      </w:r>
    </w:p>
    <w:p>
      <w:pPr>
        <w:pStyle w:val="BodyText"/>
        <w:rPr>
          <w:rFonts w:ascii="Times New Roman" w:hAnsi="Times New Roman" w:cs="Times New Roman"/>
        </w:rPr>
      </w:pPr>
      <w:r>
        <w:rPr>
          <w:rStyle w:val="Party"/>
          <w:rFonts w:cs="Times New Roman" w:ascii="Times New Roman" w:hAnsi="Times New Roman"/>
        </w:rPr>
        <w:t>California Power Exchange Corporation</w:t>
      </w:r>
    </w:p>
    <w:p>
      <w:pPr>
        <w:pStyle w:val="BodyText"/>
        <w:rPr>
          <w:rStyle w:val="Party"/>
          <w:rFonts w:ascii="Times New Roman" w:hAnsi="Times New Roman" w:cs="Times New Roman"/>
        </w:rPr>
      </w:pPr>
      <w:r>
        <w:rPr>
          <w:rFonts w:cs="Times New Roman" w:ascii="Times New Roman" w:hAnsi="Times New Roman"/>
        </w:rPr>
      </w:r>
    </w:p>
    <w:p>
      <w:pPr>
        <w:pStyle w:val="BodyText"/>
        <w:rPr>
          <w:rStyle w:val="Party"/>
          <w:rFonts w:ascii="Times New Roman" w:hAnsi="Times New Roman" w:cs="Times New Roman"/>
        </w:rPr>
      </w:pPr>
      <w:r>
        <w:rPr/>
      </w:r>
    </w:p>
    <w:p>
      <w:pPr>
        <w:pStyle w:val="BodyText"/>
        <w:rPr>
          <w:rFonts w:ascii="Times New Roman" w:hAnsi="Times New Roman" w:cs="Times New Roman"/>
        </w:rPr>
      </w:pPr>
      <w:r>
        <w:rPr>
          <w:rFonts w:cs="Times New Roman" w:ascii="Times New Roman" w:hAnsi="Times New Roman"/>
        </w:rPr>
      </w:r>
    </w:p>
    <w:p>
      <w:pPr>
        <w:pStyle w:val="Court"/>
        <w:rPr>
          <w:rFonts w:ascii="Times New Roman" w:hAnsi="Times New Roman" w:cs="Times New Roman"/>
          <w:b/>
          <w:bCs/>
        </w:rPr>
      </w:pPr>
      <w:r>
        <w:rPr>
          <w:rFonts w:cs="Times New Roman" w:ascii="Times New Roman" w:hAnsi="Times New Roman"/>
          <w:b/>
          <w:bCs/>
        </w:rPr>
        <w:t>United States District Court</w:t>
      </w:r>
    </w:p>
    <w:p>
      <w:pPr>
        <w:pStyle w:val="Venue"/>
        <w:rPr>
          <w:rFonts w:ascii="Times New Roman" w:hAnsi="Times New Roman" w:cs="Times New Roman"/>
          <w:b/>
          <w:bCs/>
        </w:rPr>
      </w:pPr>
      <w:r>
        <w:rPr>
          <w:rFonts w:cs="Times New Roman" w:ascii="Times New Roman" w:hAnsi="Times New Roman"/>
          <w:b/>
          <w:bCs/>
        </w:rPr>
        <w:t>Central District of California</w:t>
      </w:r>
    </w:p>
    <w:p>
      <w:pPr>
        <w:pStyle w:val="Venue"/>
        <w:rPr>
          <w:rFonts w:ascii="Times New Roman" w:hAnsi="Times New Roman" w:cs="Times New Roman"/>
          <w:b/>
          <w:bCs/>
        </w:rPr>
      </w:pPr>
      <w:r>
        <w:rPr>
          <w:rFonts w:cs="Times New Roman" w:ascii="Times New Roman" w:hAnsi="Times New Roman"/>
          <w:b/>
          <w:bCs/>
        </w:rPr>
      </w:r>
    </w:p>
    <w:tbl>
      <w:tblPr>
        <w:tblW w:w="9736" w:type="dxa"/>
        <w:jc w:val="start"/>
        <w:tblInd w:w="-24" w:type="dxa"/>
        <w:tblLayout w:type="fixed"/>
        <w:tblCellMar>
          <w:top w:w="0" w:type="dxa"/>
          <w:start w:w="0" w:type="dxa"/>
          <w:bottom w:w="0" w:type="dxa"/>
          <w:end w:w="0" w:type="dxa"/>
        </w:tblCellMar>
      </w:tblPr>
      <w:tblGrid>
        <w:gridCol w:w="5048"/>
        <w:gridCol w:w="4688"/>
      </w:tblGrid>
      <w:tr>
        <w:trPr/>
        <w:tc>
          <w:tcPr>
            <w:tcW w:w="5048" w:type="dxa"/>
            <w:tcBorders>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ENRON POWER MARKETING, INC., a Delaware Corporation, and ENRON CORP., an Oregon Corporation,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b/>
              <w:tab/>
              <w:tab/>
              <w:t>Plaintiffs,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CALIFORNIA POWER EXCHANGE CORPORATION, a California Corporation,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b/>
              <w:tab/>
              <w:tab/>
              <w:t>Defendant.</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CaptionDivider"/>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t>AND RELATED ACTIONS.</w:t>
            </w:r>
          </w:p>
        </w:tc>
        <w:tc>
          <w:tcPr>
            <w:tcW w:w="4688" w:type="dxa"/>
            <w:tcBorders/>
          </w:tcPr>
          <w:p>
            <w:pPr>
              <w:pStyle w:val="BodyText"/>
              <w:ind w:start="180" w:end="0"/>
              <w:rPr>
                <w:rFonts w:ascii="Times New Roman" w:hAnsi="Times New Roman" w:cs="Times New Roman"/>
              </w:rPr>
            </w:pPr>
            <w:r>
              <w:rPr>
                <w:rFonts w:cs="Times New Roman" w:ascii="Times New Roman" w:hAnsi="Times New Roman"/>
              </w:rPr>
              <w:t xml:space="preserve">CASE NO:    01-00901 CM </w:t>
            </w:r>
          </w:p>
          <w:p>
            <w:pPr>
              <w:pStyle w:val="BodyText"/>
              <w:ind w:start="180" w:end="0"/>
              <w:rPr>
                <w:rFonts w:ascii="Times New Roman" w:hAnsi="Times New Roman" w:cs="Times New Roman"/>
              </w:rPr>
            </w:pPr>
            <w:r>
              <w:rPr>
                <w:rFonts w:cs="Times New Roman" w:ascii="Times New Roman" w:hAnsi="Times New Roman"/>
              </w:rPr>
            </w:r>
          </w:p>
          <w:p>
            <w:pPr>
              <w:pStyle w:val="BodyText"/>
              <w:ind w:start="180" w:end="0"/>
              <w:rPr>
                <w:rFonts w:ascii="Times New Roman" w:hAnsi="Times New Roman" w:cs="Times New Roman"/>
              </w:rPr>
            </w:pPr>
            <w:r>
              <w:rPr>
                <w:rFonts w:cs="Times New Roman" w:ascii="Times New Roman" w:hAnsi="Times New Roman"/>
              </w:rPr>
              <w:t>Related</w:t>
            </w:r>
          </w:p>
          <w:p>
            <w:pPr>
              <w:pStyle w:val="BodyText"/>
              <w:ind w:start="180" w:end="0"/>
              <w:rPr>
                <w:rFonts w:ascii="Times New Roman" w:hAnsi="Times New Roman" w:cs="Times New Roman"/>
              </w:rPr>
            </w:pPr>
            <w:r>
              <w:rPr>
                <w:rFonts w:cs="Times New Roman" w:ascii="Times New Roman" w:hAnsi="Times New Roman"/>
              </w:rPr>
              <w:t>Case Nos.      01-01244 CM</w:t>
            </w:r>
          </w:p>
          <w:p>
            <w:pPr>
              <w:pStyle w:val="BodyText"/>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01-01329 CM</w:t>
            </w:r>
          </w:p>
          <w:p>
            <w:pPr>
              <w:pStyle w:val="BodyText"/>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01-01362 CM</w:t>
            </w:r>
          </w:p>
          <w:p>
            <w:pPr>
              <w:pStyle w:val="BodyText"/>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01-01363 CM</w:t>
            </w:r>
          </w:p>
          <w:p>
            <w:pPr>
              <w:pStyle w:val="BodyText"/>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01-01389 CM</w:t>
            </w:r>
          </w:p>
          <w:p>
            <w:pPr>
              <w:pStyle w:val="BodyText"/>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01-01508 CM</w:t>
            </w:r>
          </w:p>
          <w:p>
            <w:pPr>
              <w:pStyle w:val="BodyText"/>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01-01607 CM</w:t>
            </w:r>
          </w:p>
          <w:p>
            <w:pPr>
              <w:pStyle w:val="BodyText"/>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01-01610 CM</w:t>
            </w:r>
          </w:p>
          <w:p>
            <w:pPr>
              <w:pStyle w:val="BodyText"/>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01-01615 CM</w:t>
            </w:r>
          </w:p>
          <w:p>
            <w:pPr>
              <w:pStyle w:val="BodyText"/>
              <w:ind w:start="180" w:end="0"/>
              <w:rPr>
                <w:rFonts w:ascii="Times New Roman" w:hAnsi="Times New Roman" w:cs="Times New Roman"/>
              </w:rPr>
            </w:pPr>
            <w:r>
              <w:rPr>
                <w:rFonts w:cs="Times New Roman" w:ascii="Times New Roman" w:hAnsi="Times New Roman"/>
              </w:rPr>
            </w:r>
          </w:p>
          <w:p>
            <w:pPr>
              <w:pStyle w:val="BodyText"/>
              <w:ind w:start="180" w:end="0"/>
              <w:rPr>
                <w:rFonts w:ascii="Times New Roman" w:hAnsi="Times New Roman" w:cs="Times New Roman"/>
                <w:b/>
                <w:bCs/>
              </w:rPr>
            </w:pPr>
            <w:r>
              <w:rPr>
                <w:rFonts w:cs="Times New Roman" w:ascii="Times New Roman" w:hAnsi="Times New Roman"/>
                <w:b/>
                <w:bCs/>
              </w:rPr>
              <w:t>STATEMENT OF CALIFORNIA POWER EXCHANGE CORPORATION IN SUPPORT OF [PROPOSED] PRELIMINARY INJUNCTION</w:t>
            </w:r>
          </w:p>
          <w:p>
            <w:pPr>
              <w:pStyle w:val="BodyText"/>
              <w:ind w:start="180" w:end="0"/>
              <w:rPr>
                <w:rFonts w:ascii="Times New Roman" w:hAnsi="Times New Roman" w:cs="Times New Roman"/>
                <w:b/>
                <w:bCs/>
              </w:rPr>
            </w:pPr>
            <w:r>
              <w:rPr>
                <w:rFonts w:cs="Times New Roman" w:ascii="Times New Roman" w:hAnsi="Times New Roman"/>
                <w:b/>
                <w:bCs/>
              </w:rPr>
            </w:r>
          </w:p>
          <w:p>
            <w:pPr>
              <w:pStyle w:val="BodyText"/>
              <w:ind w:start="180" w:end="0"/>
              <w:rPr>
                <w:rFonts w:ascii="Times New Roman" w:hAnsi="Times New Roman" w:cs="Times New Roman"/>
              </w:rPr>
            </w:pPr>
            <w:r>
              <w:rPr>
                <w:rFonts w:cs="Times New Roman" w:ascii="Times New Roman" w:hAnsi="Times New Roman"/>
              </w:rPr>
              <w:t>Hearing</w:t>
            </w:r>
          </w:p>
          <w:p>
            <w:pPr>
              <w:pStyle w:val="BodyText"/>
              <w:ind w:start="180" w:end="0"/>
              <w:rPr>
                <w:rFonts w:ascii="Times New Roman" w:hAnsi="Times New Roman" w:cs="Times New Roman"/>
              </w:rPr>
            </w:pPr>
            <w:r>
              <w:rPr>
                <w:rFonts w:cs="Times New Roman" w:ascii="Times New Roman" w:hAnsi="Times New Roman"/>
              </w:rPr>
              <w:t>Date:        February 27, 2001</w:t>
            </w:r>
          </w:p>
          <w:p>
            <w:pPr>
              <w:pStyle w:val="BodyText"/>
              <w:ind w:start="180" w:end="0"/>
              <w:rPr>
                <w:rFonts w:ascii="Times New Roman" w:hAnsi="Times New Roman" w:cs="Times New Roman"/>
              </w:rPr>
            </w:pPr>
            <w:r>
              <w:rPr>
                <w:rFonts w:cs="Times New Roman" w:ascii="Times New Roman" w:hAnsi="Times New Roman"/>
              </w:rPr>
              <w:t>Time:       4:00 p.m.</w:t>
            </w:r>
          </w:p>
          <w:p>
            <w:pPr>
              <w:pStyle w:val="BodyText"/>
              <w:ind w:start="180" w:end="0"/>
              <w:rPr>
                <w:rFonts w:ascii="Times New Roman" w:hAnsi="Times New Roman" w:cs="Times New Roman"/>
              </w:rPr>
            </w:pPr>
            <w:r>
              <w:rPr>
                <w:rFonts w:cs="Times New Roman" w:ascii="Times New Roman" w:hAnsi="Times New Roman"/>
              </w:rPr>
              <w:t>Place:       Courtroom of the Honorable</w:t>
            </w:r>
          </w:p>
          <w:p>
            <w:pPr>
              <w:pStyle w:val="BodyText"/>
              <w:ind w:start="180" w:end="0"/>
              <w:rPr>
                <w:rFonts w:ascii="Times New Roman" w:hAnsi="Times New Roman" w:cs="Times New Roman"/>
                <w:b/>
                <w:bCs/>
              </w:rPr>
            </w:pPr>
            <w:r>
              <w:rPr>
                <w:rFonts w:cs="Times New Roman" w:ascii="Times New Roman" w:hAnsi="Times New Roman"/>
              </w:rPr>
              <w:t xml:space="preserve">                 </w:t>
            </w:r>
            <w:r>
              <w:rPr>
                <w:rFonts w:cs="Times New Roman" w:ascii="Times New Roman" w:hAnsi="Times New Roman"/>
              </w:rPr>
              <w:t>Carlos R. Moreno</w:t>
            </w:r>
          </w:p>
          <w:p>
            <w:pPr>
              <w:pStyle w:val="BodyText"/>
              <w:ind w:start="180" w:end="0"/>
              <w:rPr>
                <w:rFonts w:ascii="Times New Roman" w:hAnsi="Times New Roman" w:cs="Times New Roman"/>
              </w:rPr>
            </w:pPr>
            <w:r>
              <w:rPr>
                <w:rFonts w:cs="Times New Roman" w:ascii="Times New Roman" w:hAnsi="Times New Roman"/>
              </w:rPr>
              <w:t xml:space="preserve"> </w:t>
            </w:r>
          </w:p>
        </w:tc>
      </w:tr>
    </w:tbl>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r>
        <w:br w:type="page"/>
      </w:r>
    </w:p>
    <w:p>
      <w:pPr>
        <w:pStyle w:val="BodyText2"/>
        <w:rPr>
          <w:rFonts w:ascii="Times New Roman" w:hAnsi="Times New Roman" w:cs="Times New Roman"/>
          <w:b/>
          <w:bCs/>
        </w:rPr>
      </w:pPr>
      <w:r>
        <w:rPr>
          <w:rFonts w:cs="Times New Roman" w:ascii="Times New Roman" w:hAnsi="Times New Roman"/>
          <w:b/>
          <w:bCs/>
        </w:rPr>
        <w:t>I.</w:t>
        <w:tab/>
      </w:r>
      <w:r>
        <w:rPr>
          <w:rFonts w:cs="Times New Roman" w:ascii="Times New Roman" w:hAnsi="Times New Roman"/>
          <w:b/>
          <w:bCs/>
          <w:u w:val="single"/>
        </w:rPr>
        <w:t>INTRODUCTION</w:t>
      </w:r>
    </w:p>
    <w:p>
      <w:pPr>
        <w:pStyle w:val="BodyText2"/>
        <w:ind w:firstLine="720" w:end="0"/>
        <w:rPr>
          <w:rFonts w:ascii="Times New Roman" w:hAnsi="Times New Roman" w:cs="Times New Roman"/>
        </w:rPr>
      </w:pPr>
      <w:r>
        <w:rPr>
          <w:rFonts w:cs="Times New Roman" w:ascii="Times New Roman" w:hAnsi="Times New Roman"/>
        </w:rPr>
        <w:t>At the February 20, 2001 hearing on the applications of plaintiffs Enron Power Marketing, Inc. (“Enron”) and Avista Energy, Inc. (“Avista”) for a preliminary injunction, the Court (a) entered a Stipulated Injunction submitted by Enron and defendant California Power Exchange Corporation (“CalPX”) in Case No. 01-00901; (b) denied Avista’s request to convert its temporary restraining order into a preliminary injunction in Case No. 01-01244; (c) expressed its inclination to grant a “universal preliminary injunction” that would address concerns of CalPX market participants</w:t>
      </w:r>
      <w:r>
        <w:rPr>
          <w:rStyle w:val="FootnoteCharacters"/>
          <w:rStyle w:val="FootnoteReference"/>
          <w:rFonts w:cs="Times New Roman" w:ascii="Times New Roman" w:hAnsi="Times New Roman"/>
        </w:rPr>
        <w:footnoteReference w:id="2"/>
      </w:r>
      <w:r>
        <w:rPr>
          <w:rFonts w:cs="Times New Roman" w:ascii="Times New Roman" w:hAnsi="Times New Roman"/>
        </w:rPr>
        <w:t>; and (d) ordered CalPX to submit a proposed preliminary injunction to reflect the Court’s rulings at the February 20 hearing.  In instructing CalPX to attempt to address some of the issues raised by Avista, the Court also stated:  “Essentially, I want to maintain the status quo, keep the money where it is, and let FERC decide the issues of allocation.”</w:t>
      </w:r>
      <w:r>
        <w:rPr>
          <w:rStyle w:val="FootnoteCharacters"/>
          <w:rStyle w:val="FootnoteReference"/>
          <w:rFonts w:cs="Times New Roman" w:ascii="Times New Roman" w:hAnsi="Times New Roman"/>
        </w:rPr>
        <w:footnoteReference w:id="3"/>
      </w:r>
    </w:p>
    <w:p>
      <w:pPr>
        <w:pStyle w:val="BodyText2"/>
        <w:ind w:firstLine="720" w:end="0"/>
        <w:rPr>
          <w:rFonts w:ascii="Times New Roman" w:hAnsi="Times New Roman" w:cs="Times New Roman"/>
        </w:rPr>
      </w:pPr>
      <w:r>
        <w:rPr>
          <w:rFonts w:cs="Times New Roman" w:ascii="Times New Roman" w:hAnsi="Times New Roman"/>
        </w:rPr>
        <w:t>Since the February 20 hearing, counsel for CalPX have engaged in extensive discussions with counsel for the market participants, including via conference calls in which all ten of the participants with charge back-related claims pending in this Court (as well as several other nonparty participants) were invited to participate.  In the course of these communications, CalPX submitted drafts of a proposed preliminary injunction to the participants, and revised its proposed preliminary injunction to incorporate some of the participants’ suggestions.  CalPX is now submitting herewith a proposed preliminary injunction that is in harmony with the Court’s prior rulings.</w:t>
      </w:r>
    </w:p>
    <w:p>
      <w:pPr>
        <w:pStyle w:val="BodyText2"/>
        <w:ind w:firstLine="720" w:end="0"/>
        <w:rPr>
          <w:rFonts w:ascii="Times New Roman" w:hAnsi="Times New Roman" w:cs="Times New Roman"/>
        </w:rPr>
      </w:pPr>
      <w:r>
        <w:rPr>
          <w:rFonts w:cs="Times New Roman" w:ascii="Times New Roman" w:hAnsi="Times New Roman"/>
        </w:rPr>
        <w:t>This proposed preliminary injunction (hereafter, “Preliminary Injunction”), which would stay all of the above-numbered actions pending resolution of the disputed issues that were tendered to the Federal Energy Regulatory Commission (“FERC”) by some of the plaintiffs, is intended to preserve the status quo while substantive issues are being addressed by FERC.  Below, we summarize the material provisions of the Preliminary Injunction, and also address issues that were raised by participants during the course of its drafting and/or may be submitted in the form of objections at the February 27 hearing.</w:t>
      </w:r>
    </w:p>
    <w:p>
      <w:pPr>
        <w:pStyle w:val="BodyText2"/>
        <w:rPr>
          <w:rFonts w:ascii="Times New Roman" w:hAnsi="Times New Roman" w:cs="Times New Roman"/>
          <w:b/>
          <w:bCs/>
        </w:rPr>
      </w:pPr>
      <w:r>
        <w:rPr>
          <w:rFonts w:cs="Times New Roman" w:ascii="Times New Roman" w:hAnsi="Times New Roman"/>
          <w:b/>
          <w:bCs/>
        </w:rPr>
        <w:t>II.</w:t>
        <w:tab/>
      </w:r>
      <w:r>
        <w:rPr>
          <w:rFonts w:cs="Times New Roman" w:ascii="Times New Roman" w:hAnsi="Times New Roman"/>
          <w:b/>
          <w:bCs/>
          <w:u w:val="single"/>
        </w:rPr>
        <w:t>THE PROPOSED PRELIMINARY INJUNCTION</w:t>
      </w:r>
    </w:p>
    <w:p>
      <w:pPr>
        <w:pStyle w:val="BodyText2"/>
        <w:rPr/>
      </w:pPr>
      <w:r>
        <w:rPr>
          <w:rFonts w:cs="Times New Roman" w:ascii="Times New Roman" w:hAnsi="Times New Roman"/>
        </w:rPr>
        <w:tab/>
        <w:t>The Preliminary Injunction meets the criteria set forth by the Court at the February 20 hearing.  Among other things, it (a) enjoins CalPX from engaging in further collections (and related activities) with respect to charge backs, pending resolution of charge back issues by FERC; (b) preserves assets held by CalPX and permits billing for participants’ non-charge back obligations, so that such assets will not be “scattered” prior to the FERC proceeding; (c) provides for escrowing the current (and future) cash collateral held by CalPX for market participants, and for escrowing future incoming cash payments; and (d) facilitates the ongoing operations of CalPX.</w:t>
      </w:r>
      <w:r>
        <w:rPr>
          <w:rStyle w:val="FootnoteCharacters"/>
          <w:rStyle w:val="FootnoteReference"/>
          <w:rFonts w:cs="Times New Roman" w:ascii="Times New Roman" w:hAnsi="Times New Roman"/>
        </w:rPr>
        <w:footnoteReference w:id="4"/>
      </w:r>
      <w:r>
        <w:rPr>
          <w:rFonts w:cs="Times New Roman" w:ascii="Times New Roman" w:hAnsi="Times New Roman"/>
        </w:rPr>
        <w:t xml:space="preserve">  We briefly address each of these points below.</w:t>
      </w:r>
    </w:p>
    <w:p>
      <w:pPr>
        <w:pStyle w:val="BodyText2"/>
        <w:rPr>
          <w:rFonts w:ascii="Times New Roman" w:hAnsi="Times New Roman" w:cs="Times New Roman"/>
        </w:rPr>
      </w:pPr>
      <w:r>
        <w:rPr>
          <w:rFonts w:cs="Times New Roman" w:ascii="Times New Roman" w:hAnsi="Times New Roman"/>
        </w:rPr>
        <w:tab/>
        <w:t>A.</w:t>
        <w:tab/>
      </w:r>
      <w:r>
        <w:rPr>
          <w:rFonts w:cs="Times New Roman" w:ascii="Times New Roman" w:hAnsi="Times New Roman"/>
          <w:u w:val="single"/>
        </w:rPr>
        <w:t>THE “STAY” ON CHARGE BACKS</w:t>
      </w:r>
    </w:p>
    <w:p>
      <w:pPr>
        <w:pStyle w:val="BodyText2"/>
        <w:rPr/>
      </w:pPr>
      <w:r>
        <w:rPr>
          <w:rFonts w:cs="Times New Roman" w:ascii="Times New Roman" w:hAnsi="Times New Roman"/>
        </w:rPr>
        <w:tab/>
        <w:t xml:space="preserve"> As is the case with the Stipulated Injunction entered on February 21, 2001 in the Enron action (the “Enron Injunction”), the Preliminary Injunction would, until further order of the Court after FERC’s adjudication of charge back issues, enjoin CalPX from issuing invoices for charge backs, from declaring defaults based on charge backs, from taking action to collect funds from participants to pay charge backs, and from requiring additional collateral based on charge backs.  (</w:t>
      </w:r>
      <w:r>
        <w:rPr>
          <w:rFonts w:cs="Times New Roman" w:ascii="Times New Roman" w:hAnsi="Times New Roman"/>
          <w:u w:val="single"/>
        </w:rPr>
        <w:t>See</w:t>
      </w:r>
      <w:r>
        <w:rPr>
          <w:rFonts w:cs="Times New Roman" w:ascii="Times New Roman" w:hAnsi="Times New Roman"/>
        </w:rPr>
        <w:t xml:space="preserve"> Preliminary Injunction, page 3, lines 4-17).  The Preliminary Injunction incorporates all such relief contained in the Enron Injunction, but would permit certain CalPX action vis-à-vis participant collateral upon written instruction by participants.  (</w:t>
      </w:r>
      <w:r>
        <w:rPr>
          <w:rFonts w:cs="Times New Roman" w:ascii="Times New Roman" w:hAnsi="Times New Roman"/>
          <w:u w:val="single"/>
        </w:rPr>
        <w:t>Id</w:t>
      </w:r>
      <w:r>
        <w:rPr>
          <w:rFonts w:cs="Times New Roman" w:ascii="Times New Roman" w:hAnsi="Times New Roman"/>
        </w:rPr>
        <w:t>., page 3, lines12-13).  The Preliminary Injunction also inserts provisions, requested by some participants, to clarify that CalPX will not “offset” charge back amounts in “calculating amounts that may otherwise be due” (page 3, lines 9-10), and to clarify that the stay on charge back collections also applies to prior unpaid charge back notices (page 3, lines 14-15).</w:t>
      </w:r>
      <w:r>
        <w:br w:type="page"/>
      </w:r>
    </w:p>
    <w:p>
      <w:pPr>
        <w:pStyle w:val="BodyText2"/>
        <w:rPr>
          <w:rFonts w:ascii="Times New Roman" w:hAnsi="Times New Roman" w:cs="Times New Roman"/>
        </w:rPr>
      </w:pPr>
      <w:r>
        <w:rPr>
          <w:rFonts w:cs="Times New Roman" w:ascii="Times New Roman" w:hAnsi="Times New Roman"/>
        </w:rPr>
        <w:tab/>
        <w:t>B.</w:t>
        <w:tab/>
      </w:r>
      <w:r>
        <w:rPr>
          <w:rFonts w:cs="Times New Roman" w:ascii="Times New Roman" w:hAnsi="Times New Roman"/>
          <w:u w:val="single"/>
        </w:rPr>
        <w:t>PRESERVATION OF ASSETS</w:t>
      </w:r>
    </w:p>
    <w:p>
      <w:pPr>
        <w:pStyle w:val="BodyText2"/>
        <w:rPr>
          <w:rFonts w:ascii="Times New Roman" w:hAnsi="Times New Roman" w:cs="Times New Roman"/>
        </w:rPr>
      </w:pPr>
      <w:r>
        <w:rPr>
          <w:rFonts w:cs="Times New Roman" w:ascii="Times New Roman" w:hAnsi="Times New Roman"/>
        </w:rPr>
        <w:tab/>
        <w:t>Beyond the charge back context, the Preliminary Injunction maintains the status quo with respect to CalPX’s billing process and the collateral obligations of market participants.  In this regard, the Preliminary Injunction:  permits CalPX to engage in its normal invoicing process for the Core (Day-Ahead, Day-Of, and Real-Time) and CTS markets (page 3, lines 18-20), and, by permitting CalPX to draw on expiring collateral or otherwise take actions to preserve collateral, assures that market participants will maintain their current levels of collateral (page 3, lines 25-27).  In view of the impossibility of making payments to participants without allocating defaults (a subject that was addressed at length at the February 20 hearing), under the Preliminary Injunction CalPX is not required to make payments to CalPX creditors resulting from its clearinghouse function (page 3, lines 20-22).</w:t>
      </w:r>
    </w:p>
    <w:p>
      <w:pPr>
        <w:pStyle w:val="BodyText2"/>
        <w:rPr>
          <w:rFonts w:ascii="Times New Roman" w:hAnsi="Times New Roman" w:cs="Times New Roman"/>
        </w:rPr>
      </w:pPr>
      <w:r>
        <w:rPr>
          <w:rFonts w:cs="Times New Roman" w:ascii="Times New Roman" w:hAnsi="Times New Roman"/>
        </w:rPr>
        <w:tab/>
        <w:t>C.</w:t>
        <w:tab/>
      </w:r>
      <w:r>
        <w:rPr>
          <w:rFonts w:cs="Times New Roman" w:ascii="Times New Roman" w:hAnsi="Times New Roman"/>
          <w:u w:val="single"/>
        </w:rPr>
        <w:t>ESCROW OF CASH HELD BY CALPX</w:t>
      </w:r>
    </w:p>
    <w:p>
      <w:pPr>
        <w:pStyle w:val="BodyText2"/>
        <w:rPr>
          <w:rFonts w:ascii="Times New Roman" w:hAnsi="Times New Roman" w:cs="Times New Roman"/>
        </w:rPr>
      </w:pPr>
      <w:r>
        <w:rPr>
          <w:rFonts w:cs="Times New Roman" w:ascii="Times New Roman" w:hAnsi="Times New Roman"/>
        </w:rPr>
        <w:tab/>
        <w:t>In order to provide the protection sought by certain participants, the Preliminary Injunction provides that cash collateral and incoming cash be placed in interest-bearing escrow accounts while the FERC proceeding is pending and the Preliminary Injunction is in effect.  The first escrow account would be established for cash collateral maintained by CalPX for specific market participants (page 4, lines 4-10); any additional cash collateral obtained by CalPX in connection with maintaining participants’ current levels of collateral would also be placed in escrow (page 4, lines 1-3).  The second escrow account would be established for future sums that are remitted by participants in connection with the normal CalPX invoicing process, or are authorized by participants to be drawn from their collateral in order to pay such invoices (page 4, lines 11-21).</w:t>
      </w:r>
    </w:p>
    <w:p>
      <w:pPr>
        <w:pStyle w:val="BodyText2"/>
        <w:rPr>
          <w:rFonts w:ascii="Times New Roman" w:hAnsi="Times New Roman" w:cs="Times New Roman"/>
        </w:rPr>
      </w:pPr>
      <w:r>
        <w:rPr>
          <w:rFonts w:cs="Times New Roman" w:ascii="Times New Roman" w:hAnsi="Times New Roman"/>
        </w:rPr>
        <w:tab/>
        <w:t>D.</w:t>
        <w:tab/>
      </w:r>
      <w:r>
        <w:rPr>
          <w:rFonts w:cs="Times New Roman" w:ascii="Times New Roman" w:hAnsi="Times New Roman"/>
          <w:u w:val="single"/>
        </w:rPr>
        <w:t>ONGOING OPERATION OF CALPX</w:t>
      </w:r>
    </w:p>
    <w:p>
      <w:pPr>
        <w:pStyle w:val="BodyText2"/>
        <w:rPr>
          <w:rFonts w:ascii="Times New Roman" w:hAnsi="Times New Roman" w:cs="Times New Roman"/>
        </w:rPr>
      </w:pPr>
      <w:r>
        <w:rPr>
          <w:rFonts w:cs="Times New Roman" w:ascii="Times New Roman" w:hAnsi="Times New Roman"/>
        </w:rPr>
        <w:tab/>
        <w:t>To facilitate the ongoing operations of CalPX, the Preliminary Injunction permits CalPX to cover the CalPX administrative fee and its operational costs, and the CAISO grid management charge, from incoming cash remittances (page 4, lines 13-15).  In the event that the remitted sums are not sufficient for these purposes, CalPX is permitted to obtain such funds from the escrow accounts (page 4, lines 19-28).</w:t>
      </w:r>
      <w:r>
        <w:br w:type="page"/>
      </w:r>
    </w:p>
    <w:p>
      <w:pPr>
        <w:pStyle w:val="BodyText2"/>
        <w:rPr>
          <w:rFonts w:ascii="Times New Roman" w:hAnsi="Times New Roman" w:cs="Times New Roman"/>
          <w:b/>
          <w:bCs/>
        </w:rPr>
      </w:pPr>
      <w:r>
        <w:rPr>
          <w:rFonts w:cs="Times New Roman" w:ascii="Times New Roman" w:hAnsi="Times New Roman"/>
          <w:b/>
          <w:bCs/>
        </w:rPr>
        <w:t>III.</w:t>
        <w:tab/>
      </w:r>
      <w:r>
        <w:rPr>
          <w:rFonts w:cs="Times New Roman" w:ascii="Times New Roman" w:hAnsi="Times New Roman"/>
          <w:b/>
          <w:bCs/>
          <w:u w:val="single"/>
        </w:rPr>
        <w:t>APPARENT “OBJECTIONS” TO PRELIMINARY INJUNCTION</w:t>
      </w:r>
    </w:p>
    <w:p>
      <w:pPr>
        <w:pStyle w:val="BodyText2"/>
        <w:ind w:firstLine="720" w:end="0"/>
        <w:rPr>
          <w:rFonts w:ascii="Times New Roman" w:hAnsi="Times New Roman" w:cs="Times New Roman"/>
        </w:rPr>
      </w:pPr>
      <w:r>
        <w:rPr>
          <w:rFonts w:cs="Times New Roman" w:ascii="Times New Roman" w:hAnsi="Times New Roman"/>
        </w:rPr>
        <w:t xml:space="preserve">As noted above, drafts of the Preliminary Injunction were discussed at length with virtually all of the party-participants last week.  While we understand that some of the participants do not object to the terms of the Preliminary Injunction (or at least concede that it accurately reflects the Court’s rulings at the February 20 hearing), at this date we are uncertain as to whether one or more participants will lodge written or oral objections to its entry.  In view of this uncertainty, the following discussion of potential “objections” is confined to the specific matters that are technically pending before the Court – </w:t>
      </w:r>
      <w:r>
        <w:rPr>
          <w:rFonts w:cs="Times New Roman" w:ascii="Times New Roman" w:hAnsi="Times New Roman"/>
          <w:u w:val="single"/>
        </w:rPr>
        <w:t>i.e.</w:t>
      </w:r>
      <w:r>
        <w:rPr>
          <w:rFonts w:cs="Times New Roman" w:ascii="Times New Roman" w:hAnsi="Times New Roman"/>
        </w:rPr>
        <w:t>, the Court’s Orders to Show Cause in the PacifiCorp and Powerex Corp. cases (Case Nos. 01-01329 and 01-01389), the hearing on which was continued to February 27, and certain apparent objections to the Preliminary Injunction of Avista, whose application for preliminary injunction was denied on February 20, but whose temporary restraining order remains in effect until February 27.</w:t>
      </w:r>
      <w:r>
        <w:rPr>
          <w:rStyle w:val="FootnoteCharacters"/>
          <w:rStyle w:val="FootnoteReference"/>
          <w:rFonts w:cs="Times New Roman" w:ascii="Times New Roman" w:hAnsi="Times New Roman"/>
        </w:rPr>
        <w:footnoteReference w:id="5"/>
      </w:r>
    </w:p>
    <w:p>
      <w:pPr>
        <w:pStyle w:val="BodyText2"/>
        <w:ind w:firstLine="720" w:end="0"/>
        <w:rPr>
          <w:rFonts w:ascii="Times New Roman" w:hAnsi="Times New Roman" w:cs="Times New Roman"/>
          <w:u w:val="single"/>
        </w:rPr>
      </w:pPr>
      <w:r>
        <w:rPr>
          <w:rFonts w:cs="Times New Roman" w:ascii="Times New Roman" w:hAnsi="Times New Roman"/>
          <w:u w:val="single"/>
        </w:rPr>
        <w:t>February 15 PacifiCorp TRO and Order to Show Cause</w:t>
      </w:r>
    </w:p>
    <w:p>
      <w:pPr>
        <w:pStyle w:val="BodyText2"/>
        <w:rPr/>
      </w:pPr>
      <w:r>
        <w:rPr>
          <w:rFonts w:cs="Times New Roman" w:ascii="Times New Roman" w:hAnsi="Times New Roman"/>
        </w:rPr>
        <w:tab/>
        <w:t>All of the substantive relief granted to PacifiCorp in the Court’s February 15, 2001 Order in Case No. 01-01329 (</w:t>
      </w:r>
      <w:r>
        <w:rPr>
          <w:rFonts w:cs="Times New Roman" w:ascii="Times New Roman" w:hAnsi="Times New Roman"/>
          <w:u w:val="single"/>
        </w:rPr>
        <w:t>see</w:t>
      </w:r>
      <w:r>
        <w:rPr>
          <w:rFonts w:cs="Times New Roman" w:ascii="Times New Roman" w:hAnsi="Times New Roman"/>
        </w:rPr>
        <w:t xml:space="preserve"> page 2, lines 14-23) is subsumed within the Preliminary Injunction.  Specifically, PacifiCorp sought to enjoin CalPX from issuing charge back invoices to PacifiCorp and from declaring PacifiCorp in default for failure to pay charge back invoices, and those terms are included in the Preliminary Injunction.</w:t>
      </w:r>
    </w:p>
    <w:p>
      <w:pPr>
        <w:pStyle w:val="BodyText2"/>
        <w:rPr/>
      </w:pPr>
      <w:r>
        <w:rPr>
          <w:rFonts w:cs="Times New Roman" w:ascii="Times New Roman" w:hAnsi="Times New Roman"/>
        </w:rPr>
        <w:tab/>
      </w:r>
      <w:r>
        <w:rPr>
          <w:rFonts w:cs="Times New Roman" w:ascii="Times New Roman" w:hAnsi="Times New Roman"/>
          <w:u w:val="single"/>
        </w:rPr>
        <w:t>February 15 Powerex Corp. TRO and Order to Show Cause</w:t>
      </w:r>
    </w:p>
    <w:p>
      <w:pPr>
        <w:pStyle w:val="BodyText2"/>
        <w:rPr/>
      </w:pPr>
      <w:r>
        <w:rPr>
          <w:rFonts w:cs="Times New Roman" w:ascii="Times New Roman" w:hAnsi="Times New Roman"/>
        </w:rPr>
        <w:tab/>
        <w:t>Some of the substantive relief granted to Powerex Corp. in the Court’s February 15, 2001 Order in Case No. 01-01389 (</w:t>
      </w:r>
      <w:r>
        <w:rPr>
          <w:rFonts w:cs="Times New Roman" w:ascii="Times New Roman" w:hAnsi="Times New Roman"/>
          <w:u w:val="single"/>
        </w:rPr>
        <w:t>see</w:t>
      </w:r>
      <w:r>
        <w:rPr>
          <w:rFonts w:cs="Times New Roman" w:ascii="Times New Roman" w:hAnsi="Times New Roman"/>
        </w:rPr>
        <w:t xml:space="preserve"> page 3, lines 4-7) is subsumed within the Preliminary Injunction.  The remainder of the injunctive relief sought by Powerex Corp. (</w:t>
      </w:r>
      <w:r>
        <w:rPr>
          <w:rFonts w:cs="Times New Roman" w:ascii="Times New Roman" w:hAnsi="Times New Roman"/>
          <w:u w:val="single"/>
        </w:rPr>
        <w:t>see</w:t>
      </w:r>
      <w:r>
        <w:rPr>
          <w:rFonts w:cs="Times New Roman" w:ascii="Times New Roman" w:hAnsi="Times New Roman"/>
        </w:rPr>
        <w:t xml:space="preserve"> February 15, 2001 Order in Case No. 01-01389, page 3, lines 8-27) involves potential draws on, and disposition of the proceeds of, a letter of credit in the amount of $67,000,000, and a request to deposits funds received from any draw with the Court.  The Preliminary Injunction specifically deals with such matters in accordance with the Court’s rulings and remarks at the February 20 hearing.  Outside the charge back context, the Preliminary Injunction includes provisions, applicable to Powerex Corp. and all other participants, with respect to preserving the status quo vis-à-vis collateral, potential future draws on collateral, and escrowing certain collateral amounts.</w:t>
      </w:r>
    </w:p>
    <w:p>
      <w:pPr>
        <w:pStyle w:val="BodyText2"/>
        <w:rPr/>
      </w:pPr>
      <w:r>
        <w:rPr>
          <w:rFonts w:cs="Times New Roman" w:ascii="Times New Roman" w:hAnsi="Times New Roman"/>
        </w:rPr>
        <w:t xml:space="preserve"> </w:t>
      </w:r>
      <w:r>
        <w:rPr>
          <w:rFonts w:cs="Times New Roman" w:ascii="Times New Roman" w:hAnsi="Times New Roman"/>
        </w:rPr>
        <w:tab/>
      </w:r>
      <w:r>
        <w:rPr>
          <w:rFonts w:cs="Times New Roman" w:ascii="Times New Roman" w:hAnsi="Times New Roman"/>
          <w:u w:val="single"/>
        </w:rPr>
        <w:t>Avista’s “Objections”</w:t>
      </w:r>
    </w:p>
    <w:p>
      <w:pPr>
        <w:pStyle w:val="BodyText2"/>
        <w:rPr>
          <w:rFonts w:ascii="Times New Roman" w:hAnsi="Times New Roman" w:cs="Times New Roman"/>
        </w:rPr>
      </w:pPr>
      <w:r>
        <w:rPr>
          <w:rFonts w:cs="Times New Roman" w:ascii="Times New Roman" w:hAnsi="Times New Roman"/>
        </w:rPr>
        <w:tab/>
        <w:t>In declining to convert Avista’s TRO into a preliminary injunction on February 20, the Court has already substantively addressed many of Avista’s objections to the Preliminary Injunction’s predecessor document, the Stipulated Injunction.  After the February 20 hearing, in response to receipt of CalPX’s draft preliminary injunction, Avista proffered its own proposed preliminary injunction to other parties, including CalPX.  Some of Avista’s suggested changes were included in the Preliminary Injunction, and some were not.  Thus, while at this date we are uncertain as to what objections Avista may lodge in connection with the February 27 hearing, the remaining material “objections” of Avista appear to be these:</w:t>
      </w:r>
    </w:p>
    <w:p>
      <w:pPr>
        <w:pStyle w:val="BodyText2"/>
        <w:rPr/>
      </w:pPr>
      <w:r>
        <w:rPr>
          <w:rFonts w:cs="Times New Roman" w:ascii="Times New Roman" w:hAnsi="Times New Roman"/>
        </w:rPr>
        <w:tab/>
        <w:t>1.</w:t>
        <w:tab/>
        <w:t xml:space="preserve">Avista has suggested adding a reference to possible “arbitration proceedings” – </w:t>
      </w:r>
      <w:r>
        <w:rPr>
          <w:rFonts w:cs="Times New Roman" w:ascii="Times New Roman" w:hAnsi="Times New Roman"/>
          <w:u w:val="single"/>
        </w:rPr>
        <w:t>i.e.</w:t>
      </w:r>
      <w:r>
        <w:rPr>
          <w:rFonts w:cs="Times New Roman" w:ascii="Times New Roman" w:hAnsi="Times New Roman"/>
        </w:rPr>
        <w:t>, it would apparently modify the duration of the Preliminary Injunction to allow for undefined arbitration proceedings.  Specifically, Avista has suggested that the status quo should be preserved until further Order of the Court after FERC’s decision “</w:t>
      </w:r>
      <w:r>
        <w:rPr>
          <w:rFonts w:cs="Times New Roman" w:ascii="Times New Roman" w:hAnsi="Times New Roman"/>
          <w:u w:val="single"/>
        </w:rPr>
        <w:t>or the conclusion of any arbitration proceedings</w:t>
      </w:r>
      <w:r>
        <w:rPr>
          <w:rFonts w:cs="Times New Roman" w:ascii="Times New Roman" w:hAnsi="Times New Roman"/>
        </w:rPr>
        <w:t>.”  (</w:t>
      </w:r>
      <w:r>
        <w:rPr>
          <w:rFonts w:cs="Times New Roman" w:ascii="Times New Roman" w:hAnsi="Times New Roman"/>
          <w:u w:val="single"/>
        </w:rPr>
        <w:t>See</w:t>
      </w:r>
      <w:r>
        <w:rPr>
          <w:rFonts w:cs="Times New Roman" w:ascii="Times New Roman" w:hAnsi="Times New Roman"/>
        </w:rPr>
        <w:t xml:space="preserve"> Preliminary Injunction, page 3, line 6 and page 6, line 2.)  (We understand Avista’s reference to “arbitration proceedings” to contemplate other proceedings than the arbitration previously commenced by Enron with respect to the Indemnity Agreement issue, which arbitration in any event is being held in abeyance pending FERC’s and this Court’s disposition of charge back issues.)  CalPX believes that an additional reference to undefined arbitration proceedings runs counter to the Court’s acknowledgment that FERC adjudication of the charge back issues is appropriate.</w:t>
      </w:r>
      <w:r>
        <w:rPr>
          <w:rStyle w:val="FootnoteCharacters"/>
          <w:rStyle w:val="FootnoteReference"/>
          <w:rFonts w:cs="Times New Roman" w:ascii="Times New Roman" w:hAnsi="Times New Roman"/>
        </w:rPr>
        <w:footnoteReference w:id="6"/>
      </w:r>
      <w:r>
        <w:rPr>
          <w:rFonts w:cs="Times New Roman" w:ascii="Times New Roman" w:hAnsi="Times New Roman"/>
        </w:rPr>
        <w:t xml:space="preserve">  Moreover, awaiting the conclusion of as-yet nonexistent arbitration proceedings, in which one or more parties might also challenge the arbitrability of claims under the PX Tariff’s alternative dispute resolution provisions, could unduly prolong this matter.  At the request of another participant (PacifiCorp), however, CalPX has added paragraph 10 to the Preliminary Injunction, which acknowledges that no parties’ claims or defenses are waived, including the right to contend that an issue is or is not subject to arbitration.</w:t>
      </w:r>
    </w:p>
    <w:p>
      <w:pPr>
        <w:pStyle w:val="BodyText2"/>
        <w:rPr>
          <w:rFonts w:ascii="Times New Roman" w:hAnsi="Times New Roman" w:cs="Times New Roman"/>
        </w:rPr>
      </w:pPr>
      <w:r>
        <w:rPr>
          <w:rFonts w:cs="Times New Roman" w:ascii="Times New Roman" w:hAnsi="Times New Roman"/>
        </w:rPr>
        <w:tab/>
        <w:t>2.</w:t>
        <w:tab/>
        <w:t>Despite the Court’s acknowledgment at the February 20 hearing that, pending FERC’s adjudication of charge back issues, it is appropriate to “keep the money where it is,” Avista proposes to strike from the Preliminary Injunction the statement that “CalPX shall not be required to make payments to creditors of CalPX resulting from its clearinghouse function.”  (Preliminary Injunction, page 3, lines 21-22.)  As was previously argued at length at the February 20 hearing, absent appropriate allocation of default charge back amounts to participants – the very issue that has been tendered to FERC for determination – it is not possible for CalPX to make “allocated” payments to participants.  Put simply, without a default charge back allocation methodology, there is no coherent basis for making payments to participants.  CalPX believes that the Court has already recognized as much, and concluded that it serves the participants’ mutual interests to maintain what funds are available in one place, so that CalPX will be better situated to comply with any future FERC ruling.  For these reasons and the reasons provided in connection with the February 20 hearing, Avista’s apparent request to strike this language should be denied.</w:t>
      </w:r>
    </w:p>
    <w:p>
      <w:pPr>
        <w:pStyle w:val="BodyText2"/>
        <w:ind w:firstLine="720" w:end="0"/>
        <w:rPr/>
      </w:pPr>
      <w:r>
        <w:rPr>
          <w:rFonts w:cs="Times New Roman" w:ascii="Times New Roman" w:hAnsi="Times New Roman"/>
        </w:rPr>
        <w:t>3.</w:t>
        <w:tab/>
        <w:t>Avista has also suggested one modification to the Preliminary Injunction with respect to collateral – specifically, it would add the following bracketed language to paragraph 3 of the Preliminary Injunction:  “If CalPX Market Participants fail to maintain their current</w:t>
      </w:r>
      <w:r>
        <w:rPr>
          <w:rFonts w:cs="Times New Roman" w:ascii="Times New Roman" w:hAnsi="Times New Roman"/>
          <w:b/>
          <w:bCs/>
          <w:u w:val="single"/>
        </w:rPr>
        <w:t>[ly scheduled]</w:t>
      </w:r>
      <w:r>
        <w:rPr>
          <w:rFonts w:cs="Times New Roman" w:ascii="Times New Roman" w:hAnsi="Times New Roman"/>
        </w:rPr>
        <w:t xml:space="preserve"> levels of collateral while the FERC Proceeding is pending and this Injunction is in effect, CalPX may draw on any expiring collateral . . . .”  (Preliminary Injunction, page 3, lines 25-27.)  That point was also considered and (CalPX believes) rejected by Court at the February 20 hearing.  In addition to the fact that Avista’s proposed language would change the status quo (rather than “keep the money where it is”), it would introduce a substantial and unnecessary dispute about the meaning of “currently scheduled levels of collateral,” perhaps requiring the Court to pre-judge issues before FERC in order to decide what constitutes “excess” collateral.  Additionally, removing assets from CalPX’s control could undermine CalPX’s ability to effectuate a decision by FERC once made.  For these reasons, the bracketed language apparently proposed by Avista should not be included in the Preliminary Injunction.</w:t>
      </w:r>
    </w:p>
    <w:p>
      <w:pPr>
        <w:pStyle w:val="BodyText2"/>
        <w:rPr>
          <w:rFonts w:ascii="Times New Roman" w:hAnsi="Times New Roman" w:cs="Times New Roman"/>
          <w:b/>
          <w:bCs/>
        </w:rPr>
      </w:pPr>
      <w:r>
        <w:rPr>
          <w:rFonts w:cs="Times New Roman" w:ascii="Times New Roman" w:hAnsi="Times New Roman"/>
          <w:b/>
          <w:bCs/>
        </w:rPr>
        <w:t>IV.</w:t>
        <w:tab/>
      </w:r>
      <w:r>
        <w:rPr>
          <w:rFonts w:cs="Times New Roman" w:ascii="Times New Roman" w:hAnsi="Times New Roman"/>
          <w:b/>
          <w:bCs/>
          <w:u w:val="single"/>
        </w:rPr>
        <w:t>CONCLUSION</w:t>
      </w:r>
    </w:p>
    <w:p>
      <w:pPr>
        <w:pStyle w:val="BodyText2"/>
        <w:rPr>
          <w:rFonts w:ascii="Times New Roman" w:hAnsi="Times New Roman" w:cs="Times New Roman"/>
        </w:rPr>
      </w:pPr>
      <w:r>
        <w:rPr>
          <w:rFonts w:cs="Times New Roman" w:ascii="Times New Roman" w:hAnsi="Times New Roman"/>
        </w:rPr>
        <w:tab/>
        <w:t xml:space="preserve">In accordance with the Court’s instructions at the February 20 hearing and for the reasons stated herein, CalPX is submitting a Preliminary Injunction for entry by the Court.  If the Court finds it appropriate to include a bond requirement in the Preliminary Injunction, CalPX believes that the participants’ current levels of collateral constitute an appropriate amount of security. </w:t>
      </w:r>
    </w:p>
    <w:p>
      <w:pPr>
        <w:pStyle w:val="BodyText"/>
        <w:rPr>
          <w:rFonts w:ascii="Times New Roman" w:hAnsi="Times New Roman" w:cs="Times New Roman"/>
        </w:rPr>
      </w:pPr>
      <w:r>
        <w:rPr>
          <w:rFonts w:cs="Times New Roman" w:ascii="Times New Roman" w:hAnsi="Times New Roman"/>
        </w:rPr>
        <w:t>DATED:   February 26, 2001</w:t>
        <w:tab/>
        <w:tab/>
        <w:tab/>
        <w:t>Respectfully Submitted,</w:t>
      </w:r>
    </w:p>
    <w:p>
      <w:pPr>
        <w:pStyle w:val="BodyText"/>
        <w:rPr>
          <w:rFonts w:ascii="Times New Roman" w:hAnsi="Times New Roman" w:cs="Times New Roman"/>
        </w:rPr>
      </w:pPr>
      <w:r>
        <w:rPr>
          <w:rFonts w:cs="Times New Roman" w:ascii="Times New Roman" w:hAnsi="Times New Roman"/>
        </w:rPr>
      </w:r>
    </w:p>
    <w:p>
      <w:pPr>
        <w:pStyle w:val="BodyText"/>
        <w:ind w:firstLine="720" w:start="3600" w:end="0"/>
        <w:rPr>
          <w:rFonts w:ascii="Times New Roman" w:hAnsi="Times New Roman" w:cs="Times New Roman"/>
        </w:rPr>
      </w:pPr>
      <w:r>
        <w:rPr>
          <w:rFonts w:cs="Times New Roman" w:ascii="Times New Roman" w:hAnsi="Times New Roman"/>
        </w:rPr>
        <w:t>WHITWELL &amp; EMHOFF LLP</w:t>
      </w:r>
    </w:p>
    <w:p>
      <w:pPr>
        <w:pStyle w:val="BodyText"/>
        <w:ind w:firstLine="720" w:start="3600" w:end="0"/>
        <w:rPr>
          <w:rFonts w:ascii="Times New Roman" w:hAnsi="Times New Roman" w:cs="Times New Roman"/>
        </w:rPr>
      </w:pPr>
      <w:r>
        <w:rPr>
          <w:rFonts w:cs="Times New Roman" w:ascii="Times New Roman" w:hAnsi="Times New Roman"/>
        </w:rPr>
        <w:t>BEN D. WHITWELL</w:t>
      </w:r>
    </w:p>
    <w:p>
      <w:pPr>
        <w:pStyle w:val="BodyText"/>
        <w:ind w:firstLine="720" w:start="3600" w:end="0"/>
        <w:rPr>
          <w:rFonts w:ascii="Times New Roman" w:hAnsi="Times New Roman" w:cs="Times New Roman"/>
        </w:rPr>
      </w:pPr>
      <w:r>
        <w:rPr>
          <w:rFonts w:cs="Times New Roman" w:ascii="Times New Roman" w:hAnsi="Times New Roman"/>
        </w:rPr>
        <w:t>JEFFREY M. TANZER</w:t>
      </w:r>
    </w:p>
    <w:p>
      <w:pPr>
        <w:pStyle w:val="BodyText"/>
        <w:ind w:firstLine="720" w:start="3600" w:end="0"/>
        <w:rPr>
          <w:rFonts w:ascii="Times New Roman" w:hAnsi="Times New Roman" w:cs="Times New Roman"/>
          <w:caps/>
        </w:rPr>
      </w:pPr>
      <w:r>
        <w:rPr>
          <w:rFonts w:cs="Times New Roman" w:ascii="Times New Roman" w:hAnsi="Times New Roman"/>
          <w:caps/>
        </w:rPr>
      </w:r>
    </w:p>
    <w:p>
      <w:pPr>
        <w:pStyle w:val="BodyText"/>
        <w:ind w:firstLine="720" w:start="3600" w:end="0"/>
        <w:rPr>
          <w:rFonts w:ascii="Times New Roman" w:hAnsi="Times New Roman" w:cs="Times New Roman"/>
          <w:caps/>
        </w:rPr>
      </w:pPr>
      <w:r>
        <w:rPr>
          <w:rFonts w:cs="Times New Roman" w:ascii="Times New Roman" w:hAnsi="Times New Roman"/>
          <w:caps/>
        </w:rPr>
      </w:r>
    </w:p>
    <w:p>
      <w:pPr>
        <w:pStyle w:val="BodyText"/>
        <w:ind w:firstLine="720" w:start="3600" w:end="0"/>
        <w:rPr>
          <w:rFonts w:ascii="Times New Roman" w:hAnsi="Times New Roman" w:cs="Times New Roman"/>
        </w:rPr>
      </w:pPr>
      <w:r>
        <w:rPr>
          <w:rFonts w:cs="Times New Roman" w:ascii="Times New Roman" w:hAnsi="Times New Roman"/>
        </w:rPr>
      </w:r>
    </w:p>
    <w:p>
      <w:pPr>
        <w:pStyle w:val="BodyText"/>
        <w:ind w:firstLine="720" w:start="3600" w:end="0"/>
        <w:rPr>
          <w:rFonts w:ascii="Times New Roman" w:hAnsi="Times New Roman" w:cs="Times New Roman"/>
        </w:rPr>
      </w:pPr>
      <w:r>
        <w:rPr>
          <w:rFonts w:cs="Times New Roman" w:ascii="Times New Roman" w:hAnsi="Times New Roman"/>
        </w:rPr>
        <w:t>By:___________________________________</w:t>
      </w:r>
    </w:p>
    <w:p>
      <w:pPr>
        <w:pStyle w:val="BodyText"/>
        <w:ind w:firstLine="720" w:start="3600" w:end="0"/>
        <w:rPr>
          <w:rFonts w:ascii="Times New Roman" w:hAnsi="Times New Roman" w:cs="Times New Roman"/>
        </w:rPr>
      </w:pPr>
      <w:r>
        <w:rPr>
          <w:rFonts w:cs="Times New Roman" w:ascii="Times New Roman" w:hAnsi="Times New Roman"/>
        </w:rPr>
        <w:tab/>
        <w:t>Jeffrey M. Tanzer</w:t>
      </w:r>
    </w:p>
    <w:p>
      <w:pPr>
        <w:pStyle w:val="BodyText"/>
        <w:ind w:firstLine="720" w:start="3600" w:end="0"/>
        <w:rPr>
          <w:rFonts w:ascii="Times New Roman" w:hAnsi="Times New Roman" w:cs="Times New Roman"/>
        </w:rPr>
      </w:pPr>
      <w:r>
        <w:rPr>
          <w:rFonts w:cs="Times New Roman" w:ascii="Times New Roman" w:hAnsi="Times New Roman"/>
        </w:rPr>
        <w:t xml:space="preserve">Attorneys for Defendant </w:t>
      </w:r>
    </w:p>
    <w:p>
      <w:pPr>
        <w:pStyle w:val="BodyText2"/>
        <w:ind w:firstLine="720" w:start="3600" w:end="0"/>
        <w:rPr>
          <w:rFonts w:ascii="Times New Roman" w:hAnsi="Times New Roman" w:cs="Times New Roman"/>
        </w:rPr>
      </w:pPr>
      <w:r>
        <w:rPr>
          <w:rFonts w:cs="Times New Roman" w:ascii="Times New Roman" w:hAnsi="Times New Roman"/>
        </w:rPr>
        <w:t>California Power Exchange Corporation</w:t>
      </w:r>
    </w:p>
    <w:p>
      <w:pPr>
        <w:pStyle w:val="BodyText2"/>
        <w:spacing w:lineRule="auto" w:line="240"/>
        <w:rPr/>
      </w:pPr>
      <w:r>
        <w:rPr/>
        <w:tab/>
        <w:tab/>
        <w:tab/>
        <w:tab/>
        <w:tab/>
        <w:tab/>
      </w:r>
      <w:r>
        <w:br w:type="page"/>
      </w:r>
    </w:p>
    <w:p>
      <w:pPr>
        <w:pStyle w:val="BodyText"/>
        <w:jc w:val="center"/>
        <w:rPr>
          <w:rFonts w:ascii="Times New Roman" w:hAnsi="Times New Roman" w:cs="Times New Roman"/>
          <w:b/>
        </w:rPr>
      </w:pPr>
      <w:r>
        <w:rPr>
          <w:rFonts w:cs="Times New Roman" w:ascii="Times New Roman" w:hAnsi="Times New Roman"/>
          <w:b/>
        </w:rPr>
        <w:t>PROOF OF SERVICE</w:t>
      </w:r>
    </w:p>
    <w:p>
      <w:pPr>
        <w:pStyle w:val="BodyText"/>
        <w:spacing w:before="240" w:after="0"/>
        <w:rPr>
          <w:rFonts w:ascii="Times New Roman" w:hAnsi="Times New Roman" w:cs="Times New Roman"/>
          <w:caps/>
        </w:rPr>
      </w:pPr>
      <w:r>
        <w:rPr>
          <w:rFonts w:cs="Times New Roman" w:ascii="Times New Roman" w:hAnsi="Times New Roman"/>
          <w:caps/>
        </w:rPr>
        <w:t>sTATE OF California, COUNTY OF Los Angeles</w:t>
      </w:r>
    </w:p>
    <w:p>
      <w:pPr>
        <w:pStyle w:val="BodyText"/>
        <w:spacing w:before="240" w:after="0"/>
        <w:rPr>
          <w:rFonts w:ascii="Times New Roman" w:hAnsi="Times New Roman" w:cs="Times New Roman"/>
        </w:rPr>
      </w:pPr>
      <w:r>
        <w:rPr>
          <w:rFonts w:cs="Times New Roman" w:ascii="Times New Roman" w:hAnsi="Times New Roman"/>
        </w:rPr>
        <w:t>I am employed in the County of Los Angeles, State of California.  I am over the age of 18 and not a party to the within action;  my business address is Whitwell &amp; Emhoff, LLP 202 North Canon Drive, Second Floor, Beverly Hills, California.</w:t>
      </w:r>
    </w:p>
    <w:p>
      <w:pPr>
        <w:pStyle w:val="BodyText"/>
        <w:spacing w:before="240" w:after="0"/>
        <w:rPr/>
      </w:pPr>
      <w:r>
        <w:rPr>
          <w:rFonts w:cs="Times New Roman" w:ascii="Times New Roman" w:hAnsi="Times New Roman"/>
        </w:rPr>
        <w:t>On February 26, 2001, I served the foregoing document(s) described as</w:t>
      </w:r>
      <w:r>
        <w:rPr>
          <w:rFonts w:cs="Times New Roman" w:ascii="Times New Roman" w:hAnsi="Times New Roman"/>
          <w:b/>
          <w:bCs/>
        </w:rPr>
        <w:t xml:space="preserve"> </w:t>
      </w:r>
      <w:r>
        <w:rPr>
          <w:rFonts w:cs="Times New Roman" w:ascii="Times New Roman" w:hAnsi="Times New Roman"/>
        </w:rPr>
        <w:t xml:space="preserve"> </w:t>
      </w:r>
      <w:r>
        <w:rPr>
          <w:rFonts w:cs="Times New Roman" w:ascii="Times New Roman" w:hAnsi="Times New Roman"/>
          <w:b/>
          <w:bCs/>
        </w:rPr>
        <w:t>STATEMENT OF CALIFORNIA POWER EXCHANGE CORPORATION IN SUPPORT OF [PROPOSED] PRELIMINARY INJUNCTION</w:t>
      </w:r>
      <w:r>
        <w:rPr>
          <w:rFonts w:cs="Times New Roman" w:ascii="Times New Roman" w:hAnsi="Times New Roman"/>
        </w:rPr>
        <w:t xml:space="preserve"> on the interested parties in this action addressed as follows:</w:t>
      </w:r>
    </w:p>
    <w:p>
      <w:pPr>
        <w:pStyle w:val="BodyText"/>
        <w:jc w:val="center"/>
        <w:rPr>
          <w:rFonts w:ascii="Times New Roman" w:hAnsi="Times New Roman" w:cs="Times New Roman"/>
        </w:rPr>
      </w:pPr>
      <w:r>
        <w:rPr>
          <w:rFonts w:cs="Times New Roman" w:ascii="Times New Roman" w:hAnsi="Times New Roman"/>
        </w:rPr>
      </w:r>
    </w:p>
    <w:tbl>
      <w:tblPr>
        <w:tblW w:w="10109" w:type="dxa"/>
        <w:jc w:val="start"/>
        <w:tblInd w:w="0" w:type="dxa"/>
        <w:tblLayout w:type="fixed"/>
        <w:tblCellMar>
          <w:top w:w="0" w:type="dxa"/>
          <w:start w:w="108" w:type="dxa"/>
          <w:bottom w:w="0" w:type="dxa"/>
          <w:end w:w="108" w:type="dxa"/>
        </w:tblCellMar>
      </w:tblPr>
      <w:tblGrid>
        <w:gridCol w:w="5054"/>
        <w:gridCol w:w="5055"/>
      </w:tblGrid>
      <w:tr>
        <w:trPr/>
        <w:tc>
          <w:tcPr>
            <w:tcW w:w="5054" w:type="dxa"/>
            <w:tcBorders/>
          </w:tcPr>
          <w:p>
            <w:pPr>
              <w:pStyle w:val="BodyText"/>
              <w:rPr>
                <w:rFonts w:ascii="Times New Roman" w:hAnsi="Times New Roman" w:cs="Times New Roman"/>
              </w:rPr>
            </w:pPr>
            <w:r>
              <w:rPr>
                <w:rFonts w:cs="Times New Roman" w:ascii="Times New Roman" w:hAnsi="Times New Roman"/>
              </w:rPr>
              <w:t>SEE ATTACHED LIST</w:t>
            </w:r>
          </w:p>
        </w:tc>
        <w:tc>
          <w:tcPr>
            <w:tcW w:w="5055" w:type="dxa"/>
            <w:tcBorders/>
          </w:tcPr>
          <w:p>
            <w:pPr>
              <w:pStyle w:val="BodyText"/>
              <w:snapToGrid w:val="false"/>
              <w:rPr>
                <w:rFonts w:ascii="Times New Roman" w:hAnsi="Times New Roman" w:cs="Times New Roman"/>
              </w:rPr>
            </w:pPr>
            <w:r>
              <w:rPr>
                <w:rFonts w:cs="Times New Roman" w:ascii="Times New Roman" w:hAnsi="Times New Roman"/>
              </w:rPr>
            </w:r>
          </w:p>
        </w:tc>
      </w:tr>
    </w:tbl>
    <w:p>
      <w:pPr>
        <w:pStyle w:val="BodyTextIndent"/>
        <w:spacing w:lineRule="exact" w:line="240"/>
        <w:ind w:hanging="720" w:start="720" w:end="0"/>
        <w:rPr/>
      </w:pPr>
      <w:r>
        <w:rPr>
          <w:rFonts w:cs="Times New Roman" w:ascii="Wingdings" w:hAnsi="Wingdings"/>
        </w:rPr>
        <w:fldChar w:fldCharType="begin"/>
      </w:r>
      <w:r>
        <w:rPr>
          <w:rFonts w:cs="Times New Roman" w:ascii="Wingdings" w:hAnsi="Wingdings"/>
        </w:rPr>
        <w:instrText xml:space="preserve"> MACROBUTTON UncheckIt </w:instrText>
      </w:r>
      <w:r>
        <w:rPr>
          <w:rFonts w:cs="Times New Roman" w:ascii="Wingdings" w:hAnsi="Wingdings"/>
        </w:rPr>
        <w:fldChar w:fldCharType="separate"/>
      </w:r>
      <w:r>
        <w:rPr>
          <w:rFonts w:cs="Times New Roman" w:ascii="Wingdings" w:hAnsi="Wingdings"/>
        </w:rPr>
        <w:t></w:t>
      </w:r>
      <w:r>
        <w:rPr>
          <w:rFonts w:cs="Times New Roman" w:ascii="Wingdings" w:hAnsi="Wingdings"/>
        </w:rPr>
        <w:fldChar w:fldCharType="end"/>
      </w:r>
      <w:r>
        <w:rPr>
          <w:rFonts w:cs="Times New Roman" w:ascii="Times New Roman" w:hAnsi="Times New Roman"/>
          <w:b/>
        </w:rPr>
        <w:tab/>
      </w:r>
      <w:r>
        <w:rPr>
          <w:rFonts w:cs="Times New Roman" w:ascii="Times New Roman" w:hAnsi="Times New Roman"/>
        </w:rPr>
        <w:t>By placing true copies thereof enclosed in a sealed envelope(s) addressed as stated above.</w:t>
      </w:r>
    </w:p>
    <w:p>
      <w:pPr>
        <w:pStyle w:val="BodyTextIndent"/>
        <w:spacing w:lineRule="exact" w:line="240" w:before="240" w:after="0"/>
        <w:ind w:hanging="720" w:end="0"/>
        <w:rPr/>
      </w:pPr>
      <w:r>
        <w:rPr>
          <w:rFonts w:cs="Times New Roman" w:ascii="Times New Roman" w:hAnsi="Times New Roman"/>
          <w:b/>
        </w:rPr>
        <w:tab/>
      </w:r>
      <w:r>
        <w:rPr>
          <w:rFonts w:cs="Times New Roman" w:ascii="Times New Roman" w:hAnsi="Times New Roman"/>
          <w:b/>
          <w:bCs/>
        </w:rPr>
        <w:t>BY PERSONAL SERVICE (CCP §1011)</w:t>
      </w:r>
      <w:r>
        <w:rPr>
          <w:rFonts w:cs="Times New Roman" w:ascii="Times New Roman" w:hAnsi="Times New Roman"/>
        </w:rPr>
        <w:t>:  I caused said document to be delivered in such envelope(s) by hand to the addressee(s) as stated above.</w:t>
      </w:r>
    </w:p>
    <w:p>
      <w:pPr>
        <w:pStyle w:val="BodyTextIndent"/>
        <w:spacing w:lineRule="exact" w:line="240" w:before="240" w:after="0"/>
        <w:ind w:hanging="720" w:end="0"/>
        <w:rPr/>
      </w:pPr>
      <w:r>
        <w:rPr>
          <w:rFonts w:cs="Times New Roman" w:ascii="Wingdings" w:hAnsi="Wingdings"/>
        </w:rPr>
        <w:fldChar w:fldCharType="begin"/>
      </w:r>
      <w:r>
        <w:rPr>
          <w:rFonts w:cs="Times New Roman" w:ascii="Wingdings" w:hAnsi="Wingdings"/>
        </w:rPr>
        <w:instrText xml:space="preserve"> MACROBUTTON UncheckIt </w:instrText>
      </w:r>
      <w:r>
        <w:rPr>
          <w:rFonts w:cs="Times New Roman" w:ascii="Wingdings" w:hAnsi="Wingdings"/>
        </w:rPr>
        <w:fldChar w:fldCharType="separate"/>
      </w:r>
      <w:r>
        <w:rPr>
          <w:rFonts w:cs="Times New Roman" w:ascii="Wingdings" w:hAnsi="Wingdings"/>
        </w:rPr>
        <w:t></w:t>
      </w:r>
      <w:r>
        <w:rPr>
          <w:rFonts w:cs="Times New Roman" w:ascii="Wingdings" w:hAnsi="Wingdings"/>
        </w:rPr>
        <w:fldChar w:fldCharType="end"/>
      </w:r>
      <w:r>
        <w:rPr>
          <w:rFonts w:cs="Times New Roman" w:ascii="Times New Roman" w:hAnsi="Times New Roman"/>
        </w:rPr>
        <w:tab/>
      </w:r>
      <w:r>
        <w:rPr>
          <w:rFonts w:cs="Times New Roman" w:ascii="Times New Roman" w:hAnsi="Times New Roman"/>
          <w:b/>
          <w:bCs/>
        </w:rPr>
        <w:t>BY MAIL (CCP §1013(a)&amp;(b))</w:t>
      </w:r>
      <w:r>
        <w:rPr>
          <w:rFonts w:cs="Times New Roman" w:ascii="Times New Roman" w:hAnsi="Times New Roman"/>
        </w:rPr>
        <w:t>:  I am readily familiar with the firm’s practice of collection and processing correspondence for mailing with the U.S. Postal Service.  Under that practice such envelope(s) is deposited with the U.S. postal service on the same day this declaration was executed, with postage thereon fully prepaid at 202 North Canon Drive, Second Floor, Beverly Hills, California, in the ordinary course of business.</w:t>
      </w:r>
    </w:p>
    <w:p>
      <w:pPr>
        <w:pStyle w:val="BodyTextIndent"/>
        <w:spacing w:lineRule="exact" w:line="240" w:before="240" w:after="0"/>
        <w:ind w:hanging="720" w:end="0"/>
        <w:rPr/>
      </w:pPr>
      <w:r>
        <w:rPr>
          <w:rFonts w:cs="Times New Roman" w:ascii="Wingdings" w:hAnsi="Wingdings"/>
        </w:rPr>
        <w:fldChar w:fldCharType="begin"/>
      </w:r>
      <w:r>
        <w:rPr>
          <w:rFonts w:cs="Times New Roman" w:ascii="Wingdings" w:hAnsi="Wingdings"/>
        </w:rPr>
        <w:instrText xml:space="preserve"> MACROBUTTON UncheckIt </w:instrText>
      </w:r>
      <w:r>
        <w:rPr>
          <w:rFonts w:cs="Times New Roman" w:ascii="Wingdings" w:hAnsi="Wingdings"/>
        </w:rPr>
        <w:fldChar w:fldCharType="separate"/>
      </w:r>
      <w:r>
        <w:rPr>
          <w:rFonts w:cs="Times New Roman" w:ascii="Wingdings" w:hAnsi="Wingdings"/>
        </w:rPr>
        <w:t></w:t>
      </w:r>
      <w:r>
        <w:rPr>
          <w:rFonts w:cs="Times New Roman" w:ascii="Wingdings" w:hAnsi="Wingdings"/>
        </w:rPr>
        <w:fldChar w:fldCharType="end"/>
      </w:r>
      <w:r>
        <w:rPr>
          <w:rFonts w:cs="Times New Roman" w:ascii="Times New Roman" w:hAnsi="Times New Roman"/>
          <w:b/>
        </w:rPr>
        <w:tab/>
      </w:r>
      <w:r>
        <w:rPr>
          <w:rFonts w:cs="Times New Roman" w:ascii="Times New Roman" w:hAnsi="Times New Roman"/>
          <w:b/>
          <w:bCs/>
          <w:caps/>
        </w:rPr>
        <w:t>BY E-MAIL</w:t>
      </w:r>
      <w:r>
        <w:rPr>
          <w:rFonts w:cs="Times New Roman" w:ascii="Times New Roman" w:hAnsi="Times New Roman"/>
        </w:rPr>
        <w:t xml:space="preserve"> I am readily familiar with the firm’s practice of sending e-mail.    Under that practice, documents are sent to recipients via Microsoft Outlook, for immediate delivery, from the offices at 202 North Canon Drive, Second Floor, Beverly Hills, California.</w:t>
      </w:r>
    </w:p>
    <w:p>
      <w:pPr>
        <w:pStyle w:val="BodyTextIndent"/>
        <w:spacing w:before="240" w:after="0"/>
        <w:ind w:hanging="600" w:end="0"/>
        <w:rPr/>
      </w:pPr>
      <w:r>
        <w:rPr>
          <w:rFonts w:cs="Times New Roman" w:ascii="Wingdings" w:hAnsi="Wingdings"/>
        </w:rPr>
        <w:fldChar w:fldCharType="begin"/>
      </w:r>
      <w:r>
        <w:rPr>
          <w:rFonts w:cs="Times New Roman" w:ascii="Wingdings" w:hAnsi="Wingdings"/>
        </w:rPr>
        <w:instrText xml:space="preserve"> MACROBUTTON UncheckIt </w:instrText>
      </w:r>
      <w:r>
        <w:rPr>
          <w:rFonts w:cs="Times New Roman" w:ascii="Wingdings" w:hAnsi="Wingdings"/>
        </w:rPr>
        <w:fldChar w:fldCharType="separate"/>
      </w:r>
      <w:r>
        <w:rPr>
          <w:rFonts w:cs="Times New Roman" w:ascii="Wingdings" w:hAnsi="Wingdings"/>
        </w:rPr>
        <w:t></w:t>
      </w:r>
      <w:r>
        <w:rPr>
          <w:rFonts w:cs="Times New Roman" w:ascii="Wingdings" w:hAnsi="Wingdings"/>
        </w:rPr>
        <w:fldChar w:fldCharType="end"/>
      </w:r>
      <w:r>
        <w:rPr>
          <w:rFonts w:cs="Times New Roman" w:ascii="Times New Roman" w:hAnsi="Times New Roman"/>
          <w:b/>
        </w:rPr>
        <w:tab/>
      </w:r>
      <w:r>
        <w:rPr>
          <w:rFonts w:cs="Times New Roman" w:ascii="Times New Roman" w:hAnsi="Times New Roman"/>
          <w:b/>
          <w:bCs/>
        </w:rPr>
        <w:t>BY FACSIMILE:</w:t>
      </w:r>
      <w:r>
        <w:rPr>
          <w:rFonts w:cs="Times New Roman" w:ascii="Times New Roman" w:hAnsi="Times New Roman"/>
        </w:rPr>
        <w:t xml:space="preserve">  Pursuant to CCP §1013(e) and (f) and CRC Rule 2008, on February 21, 2001, I served the above stated document by facsimile from the facsimile machine of Whitwell &amp; Emhoff, LLP whose phone number is (310) 274-9910 to the addressee(s) noted below, at the facsimile numbers as stated above.  The facsimile machine used complies with CRC Rule 2003(3).  Pursuant to CRC Rule 2008(e) the transmission be facsimile was reported as complete and without error.</w:t>
      </w:r>
    </w:p>
    <w:p>
      <w:pPr>
        <w:pStyle w:val="BodyText"/>
        <w:spacing w:before="240" w:after="0"/>
        <w:rPr>
          <w:rFonts w:ascii="Times New Roman" w:hAnsi="Times New Roman" w:cs="Times New Roman"/>
        </w:rPr>
      </w:pPr>
      <w:r>
        <w:rPr>
          <w:rFonts w:cs="Times New Roman" w:ascii="Times New Roman" w:hAnsi="Times New Roman"/>
        </w:rPr>
        <w:t>Executed on February 26, 2001 at Beverly Hills, California</w:t>
      </w:r>
    </w:p>
    <w:p>
      <w:pPr>
        <w:pStyle w:val="BodyTextIndent"/>
        <w:spacing w:lineRule="exact" w:line="240" w:before="240" w:after="0"/>
        <w:ind w:hanging="720" w:start="720" w:end="0"/>
        <w:rPr/>
      </w:pPr>
      <w:bookmarkStart w:id="0" w:name="StateDeclaration"/>
      <w:r>
        <w:rPr>
          <w:rFonts w:cs="Times New Roman" w:ascii="Wingdings" w:hAnsi="Wingdings"/>
        </w:rPr>
        <w:fldChar w:fldCharType="begin"/>
      </w:r>
      <w:r>
        <w:rPr>
          <w:rFonts w:cs="Times New Roman" w:ascii="Wingdings" w:hAnsi="Wingdings"/>
        </w:rPr>
        <w:instrText xml:space="preserve"> MACROBUTTON CheckIt </w:instrText>
      </w:r>
      <w:r>
        <w:rPr>
          <w:rFonts w:cs="Times New Roman" w:ascii="Wingdings" w:hAnsi="Wingdings"/>
        </w:rPr>
        <w:fldChar w:fldCharType="separate"/>
      </w:r>
      <w:r>
        <w:rPr>
          <w:rFonts w:cs="Times New Roman" w:ascii="Wingdings" w:hAnsi="Wingdings"/>
        </w:rPr>
        <w:t></w:t>
      </w:r>
      <w:r>
        <w:rPr>
          <w:rFonts w:cs="Times New Roman" w:ascii="Wingdings" w:hAnsi="Wingdings"/>
        </w:rPr>
        <w:fldChar w:fldCharType="end"/>
      </w:r>
      <w:bookmarkEnd w:id="0"/>
      <w:r>
        <w:rPr>
          <w:rFonts w:cs="Times New Roman" w:ascii="Times New Roman" w:hAnsi="Times New Roman"/>
          <w:b/>
        </w:rPr>
        <w:tab/>
        <w:t>(STATE)</w:t>
      </w:r>
      <w:r>
        <w:rPr>
          <w:rFonts w:cs="Times New Roman" w:ascii="Times New Roman" w:hAnsi="Times New Roman"/>
        </w:rPr>
        <w:t xml:space="preserve">  I declare under penalty of perjury under the laws of the State of California that the above is true and correct.</w:t>
      </w:r>
    </w:p>
    <w:p>
      <w:pPr>
        <w:pStyle w:val="BodyTextIndent"/>
        <w:spacing w:lineRule="exact" w:line="240" w:before="240" w:after="0"/>
        <w:ind w:hanging="720" w:start="720" w:end="0"/>
        <w:rPr/>
      </w:pPr>
      <w:r>
        <w:rPr>
          <w:rFonts w:cs="Times New Roman" w:ascii="Wingdings" w:hAnsi="Wingdings"/>
        </w:rPr>
        <w:fldChar w:fldCharType="begin"/>
      </w:r>
      <w:r>
        <w:rPr>
          <w:rFonts w:cs="Times New Roman" w:ascii="Wingdings" w:hAnsi="Wingdings"/>
        </w:rPr>
        <w:instrText xml:space="preserve"> MACROBUTTON UncheckIt </w:instrText>
      </w:r>
      <w:r>
        <w:rPr>
          <w:rFonts w:cs="Times New Roman" w:ascii="Wingdings" w:hAnsi="Wingdings"/>
        </w:rPr>
        <w:fldChar w:fldCharType="separate"/>
      </w:r>
      <w:r>
        <w:rPr>
          <w:rFonts w:cs="Times New Roman" w:ascii="Wingdings" w:hAnsi="Wingdings"/>
        </w:rPr>
        <w:t></w:t>
      </w:r>
      <w:r>
        <w:rPr>
          <w:rFonts w:cs="Times New Roman" w:ascii="Wingdings" w:hAnsi="Wingdings"/>
        </w:rPr>
        <w:fldChar w:fldCharType="end"/>
      </w:r>
      <w:r>
        <w:rPr>
          <w:rFonts w:cs="Times New Roman" w:ascii="Times New Roman" w:hAnsi="Times New Roman"/>
          <w:b/>
        </w:rPr>
        <w:tab/>
        <w:t>(FEDERAL)</w:t>
      </w:r>
      <w:r>
        <w:rPr>
          <w:rFonts w:cs="Times New Roman" w:ascii="Times New Roman" w:hAnsi="Times New Roman"/>
        </w:rPr>
        <w:t xml:space="preserve">  I declare that I am employed in the office of a member of the Bar of this Court at whose direction the service was made.  I declare under penalty of perjury under the laws of the United States of America that the above is true and correct.</w:t>
      </w:r>
    </w:p>
    <w:p>
      <w:pPr>
        <w:pStyle w:val="BodyText"/>
        <w:tabs>
          <w:tab w:val="clear" w:pos="720"/>
          <w:tab w:val="left" w:pos="5040" w:leader="none"/>
          <w:tab w:val="right" w:pos="9900" w:leader="none"/>
        </w:tabs>
        <w:spacing w:before="240" w:after="0"/>
        <w:rPr>
          <w:rFonts w:ascii="Times New Roman" w:hAnsi="Times New Roman" w:cs="Times New Roman"/>
        </w:rPr>
      </w:pPr>
      <w:r>
        <w:rPr>
          <w:rFonts w:cs="Times New Roman" w:ascii="Times New Roman" w:hAnsi="Times New Roman"/>
        </w:rPr>
        <w:tab/>
        <w:t>_________________________________</w:t>
      </w:r>
    </w:p>
    <w:p>
      <w:pPr>
        <w:pStyle w:val="BodyText"/>
        <w:tabs>
          <w:tab w:val="clear" w:pos="720"/>
          <w:tab w:val="left" w:pos="5040" w:leader="none"/>
          <w:tab w:val="right" w:pos="9900" w:leader="none"/>
        </w:tabs>
        <w:spacing w:before="240" w:after="0"/>
        <w:rPr>
          <w:rFonts w:ascii="Times New Roman" w:hAnsi="Times New Roman" w:cs="Times New Roman"/>
        </w:rPr>
      </w:pPr>
      <w:r>
        <w:rPr>
          <w:rFonts w:cs="Times New Roman" w:ascii="Times New Roman" w:hAnsi="Times New Roman"/>
        </w:rPr>
        <w:tab/>
        <w:t>Edith Estrada</w:t>
      </w:r>
      <w:r>
        <w:br w:type="page"/>
      </w:r>
    </w:p>
    <w:p>
      <w:pPr>
        <w:pStyle w:val="BodyText"/>
        <w:tabs>
          <w:tab w:val="clear" w:pos="720"/>
          <w:tab w:val="left" w:pos="5040" w:leader="none"/>
          <w:tab w:val="right" w:pos="9900" w:leader="none"/>
        </w:tabs>
        <w:spacing w:before="240" w:after="0"/>
        <w:rPr>
          <w:rFonts w:ascii="Times New Roman" w:hAnsi="Times New Roman" w:cs="Times New Roman"/>
        </w:rPr>
      </w:pPr>
      <w:r>
        <w:rPr>
          <w:rFonts w:cs="Times New Roman" w:ascii="Times New Roman" w:hAnsi="Times New Roman"/>
        </w:rPr>
        <w:t>QUINN EMANUEL URQUHART</w:t>
      </w:r>
    </w:p>
    <w:p>
      <w:pPr>
        <w:pStyle w:val="BodyText2"/>
        <w:spacing w:lineRule="exact" w:line="240"/>
        <w:rPr>
          <w:rFonts w:ascii="Times New Roman" w:hAnsi="Times New Roman" w:cs="Times New Roman"/>
        </w:rPr>
      </w:pPr>
      <w:r>
        <w:rPr>
          <w:rFonts w:cs="Times New Roman" w:ascii="Times New Roman" w:hAnsi="Times New Roman"/>
        </w:rPr>
        <w:t>OLIVER &amp; HEDGES, LLP</w:t>
      </w:r>
    </w:p>
    <w:p>
      <w:pPr>
        <w:pStyle w:val="BodyText2"/>
        <w:spacing w:lineRule="exact" w:line="240"/>
        <w:rPr>
          <w:rFonts w:ascii="Times New Roman" w:hAnsi="Times New Roman" w:cs="Times New Roman"/>
        </w:rPr>
      </w:pPr>
      <w:r>
        <w:rPr>
          <w:rFonts w:cs="Times New Roman" w:ascii="Times New Roman" w:hAnsi="Times New Roman"/>
        </w:rPr>
        <w:t>Harry A. Olivar, Jr., Esq.</w:t>
      </w:r>
    </w:p>
    <w:p>
      <w:pPr>
        <w:pStyle w:val="BodyText2"/>
        <w:spacing w:lineRule="exact" w:line="240"/>
        <w:rPr>
          <w:rFonts w:ascii="Times New Roman" w:hAnsi="Times New Roman" w:cs="Times New Roman"/>
        </w:rPr>
      </w:pPr>
      <w:r>
        <w:rPr>
          <w:rFonts w:cs="Times New Roman" w:ascii="Times New Roman" w:hAnsi="Times New Roman"/>
        </w:rPr>
        <w:t>Kristen Bird, Esq.</w:t>
      </w:r>
    </w:p>
    <w:p>
      <w:pPr>
        <w:pStyle w:val="BodyText2"/>
        <w:spacing w:lineRule="exact" w:line="240"/>
        <w:rPr/>
      </w:pPr>
      <w:r>
        <w:rPr>
          <w:rFonts w:cs="Times New Roman" w:ascii="Times New Roman" w:hAnsi="Times New Roman"/>
        </w:rPr>
        <w:t>865 South Figueroa Street, 10</w:t>
      </w:r>
      <w:r>
        <w:rPr>
          <w:rFonts w:cs="Times New Roman" w:ascii="Times New Roman" w:hAnsi="Times New Roman"/>
          <w:vertAlign w:val="superscript"/>
        </w:rPr>
        <w:t>th</w:t>
      </w:r>
      <w:r>
        <w:rPr>
          <w:rFonts w:cs="Times New Roman" w:ascii="Times New Roman" w:hAnsi="Times New Roman"/>
        </w:rPr>
        <w:t xml:space="preserve"> Floor</w:t>
      </w:r>
    </w:p>
    <w:p>
      <w:pPr>
        <w:pStyle w:val="BodyText2"/>
        <w:spacing w:lineRule="exact" w:line="240"/>
        <w:rPr>
          <w:rFonts w:ascii="Times New Roman" w:hAnsi="Times New Roman" w:cs="Times New Roman"/>
        </w:rPr>
      </w:pPr>
      <w:r>
        <w:rPr>
          <w:rFonts w:cs="Times New Roman" w:ascii="Times New Roman" w:hAnsi="Times New Roman"/>
        </w:rPr>
        <w:t>Los Angeles, CA 90017-2543</w:t>
      </w:r>
    </w:p>
    <w:p>
      <w:pPr>
        <w:pStyle w:val="BodyText2"/>
        <w:spacing w:lineRule="exact" w:line="240"/>
        <w:rPr>
          <w:rFonts w:ascii="Times New Roman" w:hAnsi="Times New Roman" w:cs="Times New Roman"/>
        </w:rPr>
      </w:pPr>
      <w:r>
        <w:rPr>
          <w:rFonts w:cs="Times New Roman" w:ascii="Times New Roman" w:hAnsi="Times New Roman"/>
        </w:rPr>
        <w:t>213/624-0643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ind w:hanging="5040" w:start="5040" w:end="0"/>
        <w:rPr>
          <w:rFonts w:ascii="Times New Roman" w:hAnsi="Times New Roman" w:cs="Times New Roman"/>
        </w:rPr>
      </w:pPr>
      <w:r>
        <w:rPr>
          <w:rFonts w:cs="Times New Roman" w:ascii="Times New Roman" w:hAnsi="Times New Roman"/>
        </w:rPr>
        <w:t>BROBECK, PHLEGER &amp; HARRISON, L.L.P.</w:t>
      </w:r>
    </w:p>
    <w:p>
      <w:pPr>
        <w:pStyle w:val="BodyText2"/>
        <w:spacing w:lineRule="exact" w:line="240"/>
        <w:rPr>
          <w:rFonts w:ascii="Times New Roman" w:hAnsi="Times New Roman" w:cs="Times New Roman"/>
        </w:rPr>
      </w:pPr>
      <w:r>
        <w:rPr>
          <w:rFonts w:cs="Times New Roman" w:ascii="Times New Roman" w:hAnsi="Times New Roman"/>
        </w:rPr>
        <w:t>Gary S. Fergus, Esq.</w:t>
      </w:r>
    </w:p>
    <w:p>
      <w:pPr>
        <w:pStyle w:val="BodyText2"/>
        <w:spacing w:lineRule="exact" w:line="240"/>
        <w:rPr>
          <w:rFonts w:ascii="Times New Roman" w:hAnsi="Times New Roman" w:cs="Times New Roman"/>
        </w:rPr>
      </w:pPr>
      <w:r>
        <w:rPr>
          <w:rFonts w:cs="Times New Roman" w:ascii="Times New Roman" w:hAnsi="Times New Roman"/>
        </w:rPr>
        <w:t>Spear Street Tower</w:t>
      </w:r>
    </w:p>
    <w:p>
      <w:pPr>
        <w:pStyle w:val="BodyText2"/>
        <w:spacing w:lineRule="exact" w:line="240"/>
        <w:rPr>
          <w:rFonts w:ascii="Times New Roman" w:hAnsi="Times New Roman" w:cs="Times New Roman"/>
        </w:rPr>
      </w:pPr>
      <w:r>
        <w:rPr>
          <w:rFonts w:cs="Times New Roman" w:ascii="Times New Roman" w:hAnsi="Times New Roman"/>
        </w:rPr>
        <w:t>One Market</w:t>
      </w:r>
    </w:p>
    <w:p>
      <w:pPr>
        <w:pStyle w:val="BodyText2"/>
        <w:spacing w:lineRule="exact" w:line="240"/>
        <w:rPr>
          <w:rFonts w:ascii="Times New Roman" w:hAnsi="Times New Roman" w:cs="Times New Roman"/>
        </w:rPr>
      </w:pPr>
      <w:r>
        <w:rPr>
          <w:rFonts w:cs="Times New Roman" w:ascii="Times New Roman" w:hAnsi="Times New Roman"/>
        </w:rPr>
        <w:t>San Francisco, CA 94105</w:t>
      </w:r>
    </w:p>
    <w:p>
      <w:pPr>
        <w:pStyle w:val="BodyText2"/>
        <w:spacing w:lineRule="exact" w:line="240"/>
        <w:rPr>
          <w:rFonts w:ascii="Times New Roman" w:hAnsi="Times New Roman" w:cs="Times New Roman"/>
        </w:rPr>
      </w:pPr>
      <w:r>
        <w:rPr>
          <w:rFonts w:cs="Times New Roman" w:ascii="Times New Roman" w:hAnsi="Times New Roman"/>
        </w:rPr>
        <w:t>415/442-1010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MORRISON &amp; FOERSTER LLP</w:t>
      </w:r>
    </w:p>
    <w:p>
      <w:pPr>
        <w:pStyle w:val="BodyText2"/>
        <w:spacing w:lineRule="exact" w:line="240"/>
        <w:rPr>
          <w:rFonts w:ascii="Times New Roman" w:hAnsi="Times New Roman" w:cs="Times New Roman"/>
        </w:rPr>
      </w:pPr>
      <w:r>
        <w:rPr>
          <w:rFonts w:cs="Times New Roman" w:ascii="Times New Roman" w:hAnsi="Times New Roman"/>
        </w:rPr>
        <w:t>Diane E. Pritchard, Esq.</w:t>
      </w:r>
    </w:p>
    <w:p>
      <w:pPr>
        <w:pStyle w:val="BodyText2"/>
        <w:spacing w:lineRule="exact" w:line="240"/>
        <w:rPr>
          <w:rFonts w:ascii="Times New Roman" w:hAnsi="Times New Roman" w:cs="Times New Roman"/>
        </w:rPr>
      </w:pPr>
      <w:r>
        <w:rPr>
          <w:rFonts w:cs="Times New Roman" w:ascii="Times New Roman" w:hAnsi="Times New Roman"/>
        </w:rPr>
        <w:t>425 Market Street</w:t>
      </w:r>
    </w:p>
    <w:p>
      <w:pPr>
        <w:pStyle w:val="BodyText2"/>
        <w:spacing w:lineRule="exact" w:line="240"/>
        <w:rPr>
          <w:rFonts w:ascii="Times New Roman" w:hAnsi="Times New Roman" w:cs="Times New Roman"/>
        </w:rPr>
      </w:pPr>
      <w:r>
        <w:rPr>
          <w:rFonts w:cs="Times New Roman" w:ascii="Times New Roman" w:hAnsi="Times New Roman"/>
        </w:rPr>
        <w:t>San Francisco, CA 94105-2482</w:t>
      </w:r>
    </w:p>
    <w:p>
      <w:pPr>
        <w:pStyle w:val="BodyText2"/>
        <w:spacing w:lineRule="exact" w:line="240"/>
        <w:rPr>
          <w:rFonts w:ascii="Times New Roman" w:hAnsi="Times New Roman" w:cs="Times New Roman"/>
        </w:rPr>
      </w:pPr>
      <w:r>
        <w:rPr>
          <w:rFonts w:cs="Times New Roman" w:ascii="Times New Roman" w:hAnsi="Times New Roman"/>
        </w:rPr>
        <w:t>415/268-7522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MORRISON &amp; FOERSTER LLP</w:t>
      </w:r>
    </w:p>
    <w:p>
      <w:pPr>
        <w:pStyle w:val="BodyText2"/>
        <w:spacing w:lineRule="exact" w:line="240"/>
        <w:rPr>
          <w:rFonts w:ascii="Times New Roman" w:hAnsi="Times New Roman" w:cs="Times New Roman"/>
        </w:rPr>
      </w:pPr>
      <w:r>
        <w:rPr>
          <w:rFonts w:cs="Times New Roman" w:ascii="Times New Roman" w:hAnsi="Times New Roman"/>
        </w:rPr>
        <w:t>Gordon P. Erspamer, Esq.</w:t>
      </w:r>
    </w:p>
    <w:p>
      <w:pPr>
        <w:pStyle w:val="BodyText2"/>
        <w:spacing w:lineRule="exact" w:line="240"/>
        <w:rPr>
          <w:rFonts w:ascii="Times New Roman" w:hAnsi="Times New Roman" w:cs="Times New Roman"/>
        </w:rPr>
      </w:pPr>
      <w:r>
        <w:rPr>
          <w:rFonts w:cs="Times New Roman" w:ascii="Times New Roman" w:hAnsi="Times New Roman"/>
        </w:rPr>
        <w:t>Andrew B. Sabey, Esq.</w:t>
      </w:r>
    </w:p>
    <w:p>
      <w:pPr>
        <w:pStyle w:val="BodyText2"/>
        <w:spacing w:lineRule="exact" w:line="240"/>
        <w:rPr>
          <w:rFonts w:ascii="Times New Roman" w:hAnsi="Times New Roman" w:cs="Times New Roman"/>
        </w:rPr>
      </w:pPr>
      <w:r>
        <w:rPr>
          <w:rFonts w:cs="Times New Roman" w:ascii="Times New Roman" w:hAnsi="Times New Roman"/>
        </w:rPr>
        <w:t>101 Ygnacio Valley Road, Suite 450</w:t>
      </w:r>
    </w:p>
    <w:p>
      <w:pPr>
        <w:pStyle w:val="BodyText2"/>
        <w:spacing w:lineRule="exact" w:line="240"/>
        <w:rPr>
          <w:rFonts w:ascii="Times New Roman" w:hAnsi="Times New Roman" w:cs="Times New Roman"/>
        </w:rPr>
      </w:pPr>
      <w:r>
        <w:rPr>
          <w:rFonts w:cs="Times New Roman" w:ascii="Times New Roman" w:hAnsi="Times New Roman"/>
        </w:rPr>
        <w:t>P.O. Box 8130</w:t>
      </w:r>
    </w:p>
    <w:p>
      <w:pPr>
        <w:pStyle w:val="BodyText2"/>
        <w:spacing w:lineRule="exact" w:line="240"/>
        <w:rPr>
          <w:rFonts w:ascii="Times New Roman" w:hAnsi="Times New Roman" w:cs="Times New Roman"/>
        </w:rPr>
      </w:pPr>
      <w:r>
        <w:rPr>
          <w:rFonts w:cs="Times New Roman" w:ascii="Times New Roman" w:hAnsi="Times New Roman"/>
        </w:rPr>
        <w:t>Walnut Creek, CA 94596-8130</w:t>
      </w:r>
    </w:p>
    <w:p>
      <w:pPr>
        <w:pStyle w:val="BodyText2"/>
        <w:spacing w:lineRule="exact" w:line="240"/>
        <w:rPr>
          <w:rFonts w:ascii="Times New Roman" w:hAnsi="Times New Roman" w:cs="Times New Roman"/>
        </w:rPr>
      </w:pPr>
      <w:r>
        <w:rPr>
          <w:rFonts w:cs="Times New Roman" w:ascii="Times New Roman" w:hAnsi="Times New Roman"/>
        </w:rPr>
        <w:t>925/946-9912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BUTZ DUNN DESANTIS &amp; BINGHAM</w:t>
      </w:r>
    </w:p>
    <w:p>
      <w:pPr>
        <w:pStyle w:val="BodyText2"/>
        <w:spacing w:lineRule="exact" w:line="240"/>
        <w:rPr>
          <w:rFonts w:ascii="Times New Roman" w:hAnsi="Times New Roman" w:cs="Times New Roman"/>
        </w:rPr>
      </w:pPr>
      <w:r>
        <w:rPr>
          <w:rFonts w:cs="Times New Roman" w:ascii="Times New Roman" w:hAnsi="Times New Roman"/>
        </w:rPr>
        <w:t>Douglas M. Butz, Esq.</w:t>
      </w:r>
    </w:p>
    <w:p>
      <w:pPr>
        <w:pStyle w:val="BodyText2"/>
        <w:spacing w:lineRule="exact" w:line="240"/>
        <w:rPr>
          <w:rFonts w:ascii="Times New Roman" w:hAnsi="Times New Roman" w:cs="Times New Roman"/>
        </w:rPr>
      </w:pPr>
      <w:r>
        <w:rPr>
          <w:rFonts w:cs="Times New Roman" w:ascii="Times New Roman" w:hAnsi="Times New Roman"/>
        </w:rPr>
        <w:t>101 West Broadway, Suite 1700</w:t>
      </w:r>
    </w:p>
    <w:p>
      <w:pPr>
        <w:pStyle w:val="BodyText2"/>
        <w:spacing w:lineRule="exact" w:line="240"/>
        <w:rPr>
          <w:rFonts w:ascii="Times New Roman" w:hAnsi="Times New Roman" w:cs="Times New Roman"/>
        </w:rPr>
      </w:pPr>
      <w:r>
        <w:rPr>
          <w:rFonts w:cs="Times New Roman" w:ascii="Times New Roman" w:hAnsi="Times New Roman"/>
        </w:rPr>
        <w:t>San Diego, CA  92101-8289</w:t>
      </w:r>
    </w:p>
    <w:p>
      <w:pPr>
        <w:pStyle w:val="BodyText2"/>
        <w:spacing w:lineRule="exact" w:line="240"/>
        <w:rPr>
          <w:rFonts w:ascii="Times New Roman" w:hAnsi="Times New Roman" w:cs="Times New Roman"/>
        </w:rPr>
      </w:pPr>
      <w:r>
        <w:rPr>
          <w:rFonts w:cs="Times New Roman" w:ascii="Times New Roman" w:hAnsi="Times New Roman"/>
        </w:rPr>
        <w:t>619/231-0341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PERKINS COIE LLP</w:t>
      </w:r>
    </w:p>
    <w:p>
      <w:pPr>
        <w:pStyle w:val="BodyText2"/>
        <w:spacing w:lineRule="exact" w:line="240"/>
        <w:rPr>
          <w:rFonts w:ascii="Times New Roman" w:hAnsi="Times New Roman" w:cs="Times New Roman"/>
        </w:rPr>
      </w:pPr>
      <w:r>
        <w:rPr>
          <w:rFonts w:cs="Times New Roman" w:ascii="Times New Roman" w:hAnsi="Times New Roman"/>
        </w:rPr>
        <w:t>Douglas L. Thorpe, Esq.</w:t>
      </w:r>
    </w:p>
    <w:p>
      <w:pPr>
        <w:pStyle w:val="BodyText2"/>
        <w:spacing w:lineRule="exact" w:line="240"/>
        <w:rPr/>
      </w:pPr>
      <w:r>
        <w:rPr>
          <w:rFonts w:cs="Times New Roman" w:ascii="Times New Roman" w:hAnsi="Times New Roman"/>
        </w:rPr>
        <w:t>1620 26</w:t>
      </w:r>
      <w:r>
        <w:rPr>
          <w:rFonts w:cs="Times New Roman" w:ascii="Times New Roman" w:hAnsi="Times New Roman"/>
          <w:vertAlign w:val="superscript"/>
        </w:rPr>
        <w:t>th</w:t>
      </w:r>
      <w:r>
        <w:rPr>
          <w:rFonts w:cs="Times New Roman" w:ascii="Times New Roman" w:hAnsi="Times New Roman"/>
        </w:rPr>
        <w:t xml:space="preserve"> Street, Sixth Floor</w:t>
      </w:r>
    </w:p>
    <w:p>
      <w:pPr>
        <w:pStyle w:val="BodyText2"/>
        <w:spacing w:lineRule="exact" w:line="240"/>
        <w:rPr>
          <w:rFonts w:ascii="Times New Roman" w:hAnsi="Times New Roman" w:cs="Times New Roman"/>
        </w:rPr>
      </w:pPr>
      <w:r>
        <w:rPr>
          <w:rFonts w:cs="Times New Roman" w:ascii="Times New Roman" w:hAnsi="Times New Roman"/>
        </w:rPr>
        <w:t>Santa Monica, CA  90404</w:t>
      </w:r>
    </w:p>
    <w:p>
      <w:pPr>
        <w:pStyle w:val="BodyText2"/>
        <w:spacing w:lineRule="exact" w:line="240"/>
        <w:rPr>
          <w:rFonts w:ascii="Times New Roman" w:hAnsi="Times New Roman" w:cs="Times New Roman"/>
        </w:rPr>
      </w:pPr>
      <w:r>
        <w:rPr>
          <w:rFonts w:cs="Times New Roman" w:ascii="Times New Roman" w:hAnsi="Times New Roman"/>
        </w:rPr>
        <w:t>310/788-3399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STOEL RIVES LLP</w:t>
      </w:r>
    </w:p>
    <w:p>
      <w:pPr>
        <w:pStyle w:val="BodyText2"/>
        <w:spacing w:lineRule="exact" w:line="240"/>
        <w:rPr>
          <w:rFonts w:ascii="Times New Roman" w:hAnsi="Times New Roman" w:cs="Times New Roman"/>
        </w:rPr>
      </w:pPr>
      <w:r>
        <w:rPr>
          <w:rFonts w:cs="Times New Roman" w:ascii="Times New Roman" w:hAnsi="Times New Roman"/>
        </w:rPr>
        <w:t>Per Ramfjord, Esq.</w:t>
      </w:r>
    </w:p>
    <w:p>
      <w:pPr>
        <w:pStyle w:val="BodyText2"/>
        <w:spacing w:lineRule="exact" w:line="240"/>
        <w:rPr>
          <w:rFonts w:ascii="Times New Roman" w:hAnsi="Times New Roman" w:cs="Times New Roman"/>
        </w:rPr>
      </w:pPr>
      <w:r>
        <w:rPr>
          <w:rFonts w:cs="Times New Roman" w:ascii="Times New Roman" w:hAnsi="Times New Roman"/>
        </w:rPr>
        <w:t>Scott J. Kaplan, Esq.</w:t>
      </w:r>
    </w:p>
    <w:p>
      <w:pPr>
        <w:pStyle w:val="BodyText2"/>
        <w:spacing w:lineRule="exact" w:line="240"/>
        <w:rPr>
          <w:rFonts w:ascii="Times New Roman" w:hAnsi="Times New Roman" w:cs="Times New Roman"/>
        </w:rPr>
      </w:pPr>
      <w:r>
        <w:rPr>
          <w:rFonts w:cs="Times New Roman" w:ascii="Times New Roman" w:hAnsi="Times New Roman"/>
        </w:rPr>
        <w:t>900 SW Fifth Avenue, Suite 2600</w:t>
      </w:r>
    </w:p>
    <w:p>
      <w:pPr>
        <w:pStyle w:val="BodyText2"/>
        <w:spacing w:lineRule="exact" w:line="240"/>
        <w:rPr>
          <w:rFonts w:ascii="Times New Roman" w:hAnsi="Times New Roman" w:cs="Times New Roman"/>
        </w:rPr>
      </w:pPr>
      <w:r>
        <w:rPr>
          <w:rFonts w:cs="Times New Roman" w:ascii="Times New Roman" w:hAnsi="Times New Roman"/>
        </w:rPr>
        <w:t>Portland, OR  97204-1268</w:t>
      </w:r>
    </w:p>
    <w:p>
      <w:pPr>
        <w:pStyle w:val="BodyText2"/>
        <w:spacing w:lineRule="exact" w:line="240"/>
        <w:rPr>
          <w:rFonts w:ascii="Times New Roman" w:hAnsi="Times New Roman" w:cs="Times New Roman"/>
        </w:rPr>
      </w:pPr>
      <w:r>
        <w:rPr>
          <w:rFonts w:cs="Times New Roman" w:ascii="Times New Roman" w:hAnsi="Times New Roman"/>
        </w:rPr>
        <w:t>503/220-2480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O’MELVENY &amp; MYERS LLP</w:t>
      </w:r>
    </w:p>
    <w:p>
      <w:pPr>
        <w:pStyle w:val="BodyText2"/>
        <w:spacing w:lineRule="exact" w:line="240"/>
        <w:rPr>
          <w:rFonts w:ascii="Times New Roman" w:hAnsi="Times New Roman" w:cs="Times New Roman"/>
        </w:rPr>
      </w:pPr>
      <w:r>
        <w:rPr>
          <w:rFonts w:cs="Times New Roman" w:ascii="Times New Roman" w:hAnsi="Times New Roman"/>
        </w:rPr>
        <w:t>John W. Stamper, Esq.</w:t>
      </w:r>
    </w:p>
    <w:p>
      <w:pPr>
        <w:pStyle w:val="BodyText2"/>
        <w:spacing w:lineRule="exact" w:line="240"/>
        <w:rPr>
          <w:rFonts w:ascii="Times New Roman" w:hAnsi="Times New Roman" w:cs="Times New Roman"/>
        </w:rPr>
      </w:pPr>
      <w:r>
        <w:rPr>
          <w:rFonts w:cs="Times New Roman" w:ascii="Times New Roman" w:hAnsi="Times New Roman"/>
        </w:rPr>
        <w:t>Brian S. Currey, Esq.</w:t>
      </w:r>
    </w:p>
    <w:p>
      <w:pPr>
        <w:pStyle w:val="BodyText2"/>
        <w:spacing w:lineRule="exact" w:line="240"/>
        <w:rPr>
          <w:rFonts w:ascii="Times New Roman" w:hAnsi="Times New Roman" w:cs="Times New Roman"/>
        </w:rPr>
      </w:pPr>
      <w:r>
        <w:rPr>
          <w:rFonts w:cs="Times New Roman" w:ascii="Times New Roman" w:hAnsi="Times New Roman"/>
        </w:rPr>
        <w:t>Sharon L. Tomkins, Esq.</w:t>
      </w:r>
    </w:p>
    <w:p>
      <w:pPr>
        <w:pStyle w:val="BodyText2"/>
        <w:spacing w:lineRule="exact" w:line="240"/>
        <w:rPr>
          <w:rFonts w:ascii="Times New Roman" w:hAnsi="Times New Roman" w:cs="Times New Roman"/>
        </w:rPr>
      </w:pPr>
      <w:r>
        <w:rPr>
          <w:rFonts w:cs="Times New Roman" w:ascii="Times New Roman" w:hAnsi="Times New Roman"/>
        </w:rPr>
        <w:t>400 South Hope Street</w:t>
      </w:r>
    </w:p>
    <w:p>
      <w:pPr>
        <w:pStyle w:val="BodyText2"/>
        <w:spacing w:lineRule="exact" w:line="240"/>
        <w:rPr>
          <w:rFonts w:ascii="Times New Roman" w:hAnsi="Times New Roman" w:cs="Times New Roman"/>
        </w:rPr>
      </w:pPr>
      <w:r>
        <w:rPr>
          <w:rFonts w:cs="Times New Roman" w:ascii="Times New Roman" w:hAnsi="Times New Roman"/>
        </w:rPr>
        <w:t>Los Angeles, CA  90071-2899</w:t>
      </w:r>
    </w:p>
    <w:p>
      <w:pPr>
        <w:pStyle w:val="BodyText2"/>
        <w:spacing w:lineRule="exact" w:line="240"/>
        <w:rPr>
          <w:rFonts w:ascii="Times New Roman" w:hAnsi="Times New Roman" w:cs="Times New Roman"/>
        </w:rPr>
      </w:pPr>
      <w:r>
        <w:rPr>
          <w:rFonts w:cs="Times New Roman" w:ascii="Times New Roman" w:hAnsi="Times New Roman"/>
        </w:rPr>
        <w:t>213/430-6407 (fax)</w:t>
      </w:r>
    </w:p>
    <w:p>
      <w:pPr>
        <w:pStyle w:val="BodyText2"/>
        <w:spacing w:lineRule="exact" w:line="240"/>
        <w:rPr>
          <w:rFonts w:ascii="Times New Roman" w:hAnsi="Times New Roman" w:cs="Times New Roman"/>
        </w:rPr>
      </w:pPr>
      <w:r>
        <w:rPr>
          <w:rFonts w:cs="Times New Roman" w:ascii="Times New Roman" w:hAnsi="Times New Roman"/>
        </w:rPr>
        <w:t>STROOCK &amp; STROOCK &amp; LAVAN</w:t>
      </w:r>
    </w:p>
    <w:p>
      <w:pPr>
        <w:pStyle w:val="Normal"/>
        <w:widowControl/>
        <w:autoSpaceDE w:val="false"/>
        <w:spacing w:lineRule="auto" w:line="240"/>
        <w:rPr>
          <w:rFonts w:ascii="Times New Roman" w:hAnsi="Times New Roman" w:cs="Times New Roman"/>
        </w:rPr>
      </w:pPr>
      <w:r>
        <w:rPr>
          <w:rFonts w:cs="Times New Roman" w:ascii="Times New Roman" w:hAnsi="Times New Roman"/>
        </w:rPr>
        <w:t>Alan Yudkowski, Esq.</w:t>
      </w:r>
    </w:p>
    <w:p>
      <w:pPr>
        <w:pStyle w:val="Normal"/>
        <w:widowControl/>
        <w:autoSpaceDE w:val="false"/>
        <w:spacing w:lineRule="auto" w:line="240"/>
        <w:rPr>
          <w:rFonts w:ascii="Times New Roman" w:hAnsi="Times New Roman" w:cs="Times New Roman"/>
        </w:rPr>
      </w:pPr>
      <w:r>
        <w:rPr>
          <w:rFonts w:cs="Times New Roman" w:ascii="Times New Roman" w:hAnsi="Times New Roman"/>
        </w:rPr>
        <w:t>Peter Jazayeri, Esq.</w:t>
      </w:r>
    </w:p>
    <w:p>
      <w:pPr>
        <w:pStyle w:val="Normal"/>
        <w:widowControl/>
        <w:autoSpaceDE w:val="false"/>
        <w:spacing w:lineRule="auto" w:line="240"/>
        <w:rPr>
          <w:rFonts w:ascii="Times New Roman" w:hAnsi="Times New Roman" w:cs="Times New Roman"/>
        </w:rPr>
      </w:pPr>
      <w:r>
        <w:rPr>
          <w:rFonts w:cs="Times New Roman" w:ascii="Times New Roman" w:hAnsi="Times New Roman"/>
        </w:rPr>
        <w:t>2029 Century Park East, Suite 1800</w:t>
      </w:r>
    </w:p>
    <w:p>
      <w:pPr>
        <w:pStyle w:val="BodyText2"/>
        <w:spacing w:lineRule="exact" w:line="240"/>
        <w:rPr>
          <w:rFonts w:ascii="Times New Roman" w:hAnsi="Times New Roman" w:cs="Times New Roman"/>
        </w:rPr>
      </w:pPr>
      <w:r>
        <w:rPr>
          <w:rFonts w:cs="Times New Roman" w:ascii="Times New Roman" w:hAnsi="Times New Roman"/>
        </w:rPr>
        <w:t>Los Angeles, CA  90067</w:t>
      </w:r>
    </w:p>
    <w:p>
      <w:pPr>
        <w:pStyle w:val="BodyText2"/>
        <w:spacing w:lineRule="exact" w:line="240"/>
        <w:rPr>
          <w:rFonts w:ascii="Times New Roman" w:hAnsi="Times New Roman" w:cs="Times New Roman"/>
        </w:rPr>
      </w:pPr>
      <w:r>
        <w:rPr>
          <w:rFonts w:cs="Times New Roman" w:ascii="Times New Roman" w:hAnsi="Times New Roman"/>
        </w:rPr>
        <w:t>310/556-5959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McCUTCHEN, DOYLE, BROWN &amp; ENERSEN, LLP</w:t>
      </w:r>
    </w:p>
    <w:p>
      <w:pPr>
        <w:pStyle w:val="BodyText2"/>
        <w:spacing w:lineRule="exact" w:line="240"/>
        <w:rPr>
          <w:rFonts w:ascii="Times New Roman" w:hAnsi="Times New Roman" w:cs="Times New Roman"/>
        </w:rPr>
      </w:pPr>
      <w:r>
        <w:rPr>
          <w:rFonts w:cs="Times New Roman" w:ascii="Times New Roman" w:hAnsi="Times New Roman"/>
        </w:rPr>
        <w:t>Terry J. Houlihan, Esq.</w:t>
      </w:r>
    </w:p>
    <w:p>
      <w:pPr>
        <w:pStyle w:val="BodyText2"/>
        <w:spacing w:lineRule="exact" w:line="240"/>
        <w:rPr>
          <w:rFonts w:ascii="Times New Roman" w:hAnsi="Times New Roman" w:cs="Times New Roman"/>
        </w:rPr>
      </w:pPr>
      <w:r>
        <w:rPr>
          <w:rFonts w:cs="Times New Roman" w:ascii="Times New Roman" w:hAnsi="Times New Roman"/>
        </w:rPr>
        <w:t>Nora Cregan, Esq.</w:t>
      </w:r>
    </w:p>
    <w:p>
      <w:pPr>
        <w:pStyle w:val="BodyText2"/>
        <w:spacing w:lineRule="exact" w:line="240"/>
        <w:rPr>
          <w:rFonts w:ascii="Times New Roman" w:hAnsi="Times New Roman" w:cs="Times New Roman"/>
        </w:rPr>
      </w:pPr>
      <w:r>
        <w:rPr>
          <w:rFonts w:cs="Times New Roman" w:ascii="Times New Roman" w:hAnsi="Times New Roman"/>
        </w:rPr>
        <w:t>Three Embarcadero Center</w:t>
      </w:r>
    </w:p>
    <w:p>
      <w:pPr>
        <w:pStyle w:val="BodyText2"/>
        <w:spacing w:lineRule="exact" w:line="240"/>
        <w:rPr>
          <w:rFonts w:ascii="Times New Roman" w:hAnsi="Times New Roman" w:cs="Times New Roman"/>
        </w:rPr>
      </w:pPr>
      <w:r>
        <w:rPr>
          <w:rFonts w:cs="Times New Roman" w:ascii="Times New Roman" w:hAnsi="Times New Roman"/>
        </w:rPr>
        <w:t>San Francisco, CA  94111-4067</w:t>
      </w:r>
    </w:p>
    <w:p>
      <w:pPr>
        <w:pStyle w:val="BodyText2"/>
        <w:spacing w:lineRule="exact" w:line="240"/>
        <w:rPr>
          <w:rFonts w:ascii="Times New Roman" w:hAnsi="Times New Roman" w:cs="Times New Roman"/>
        </w:rPr>
      </w:pPr>
      <w:r>
        <w:rPr>
          <w:rFonts w:cs="Times New Roman" w:ascii="Times New Roman" w:hAnsi="Times New Roman"/>
        </w:rPr>
        <w:t>415/393-2286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McCUTCHEN, DOYLE, BROWN &amp; ENERSEN, LLP</w:t>
      </w:r>
    </w:p>
    <w:p>
      <w:pPr>
        <w:pStyle w:val="BodyText2"/>
        <w:spacing w:lineRule="exact" w:line="240"/>
        <w:rPr>
          <w:rFonts w:ascii="Times New Roman" w:hAnsi="Times New Roman" w:cs="Times New Roman"/>
        </w:rPr>
      </w:pPr>
      <w:r>
        <w:rPr>
          <w:rFonts w:cs="Times New Roman" w:ascii="Times New Roman" w:hAnsi="Times New Roman"/>
        </w:rPr>
        <w:t>Susan L. Hoffman, Esq.</w:t>
      </w:r>
    </w:p>
    <w:p>
      <w:pPr>
        <w:pStyle w:val="BodyText2"/>
        <w:spacing w:lineRule="exact" w:line="240"/>
        <w:rPr>
          <w:rFonts w:ascii="Times New Roman" w:hAnsi="Times New Roman" w:cs="Times New Roman"/>
        </w:rPr>
      </w:pPr>
      <w:r>
        <w:rPr>
          <w:rFonts w:cs="Times New Roman" w:ascii="Times New Roman" w:hAnsi="Times New Roman"/>
        </w:rPr>
        <w:t>John C. Morrissey, Esq.</w:t>
      </w:r>
    </w:p>
    <w:p>
      <w:pPr>
        <w:pStyle w:val="BodyText2"/>
        <w:spacing w:lineRule="exact" w:line="240"/>
        <w:rPr>
          <w:rFonts w:ascii="Times New Roman" w:hAnsi="Times New Roman" w:cs="Times New Roman"/>
        </w:rPr>
      </w:pPr>
      <w:r>
        <w:rPr>
          <w:rFonts w:cs="Times New Roman" w:ascii="Times New Roman" w:hAnsi="Times New Roman"/>
        </w:rPr>
        <w:t>355 South Grand Avenue, Suite 4400</w:t>
      </w:r>
    </w:p>
    <w:p>
      <w:pPr>
        <w:pStyle w:val="BodyText2"/>
        <w:spacing w:lineRule="exact" w:line="240"/>
        <w:rPr>
          <w:rFonts w:ascii="Times New Roman" w:hAnsi="Times New Roman" w:cs="Times New Roman"/>
        </w:rPr>
      </w:pPr>
      <w:r>
        <w:rPr>
          <w:rFonts w:cs="Times New Roman" w:ascii="Times New Roman" w:hAnsi="Times New Roman"/>
        </w:rPr>
        <w:t>Los Angeles, CA  90071-1560</w:t>
      </w:r>
    </w:p>
    <w:p>
      <w:pPr>
        <w:pStyle w:val="BodyText2"/>
        <w:spacing w:lineRule="exact" w:line="240"/>
        <w:rPr>
          <w:rFonts w:ascii="Times New Roman" w:hAnsi="Times New Roman" w:cs="Times New Roman"/>
        </w:rPr>
      </w:pPr>
      <w:r>
        <w:rPr>
          <w:rFonts w:cs="Times New Roman" w:ascii="Times New Roman" w:hAnsi="Times New Roman"/>
        </w:rPr>
        <w:t>213/680-6499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MORRISON &amp; FOERSTER LLP</w:t>
      </w:r>
    </w:p>
    <w:p>
      <w:pPr>
        <w:pStyle w:val="BodyText2"/>
        <w:spacing w:lineRule="exact" w:line="240"/>
        <w:rPr>
          <w:rFonts w:ascii="Times New Roman" w:hAnsi="Times New Roman" w:cs="Times New Roman"/>
        </w:rPr>
      </w:pPr>
      <w:r>
        <w:rPr>
          <w:rFonts w:cs="Times New Roman" w:ascii="Times New Roman" w:hAnsi="Times New Roman"/>
        </w:rPr>
        <w:t>Lawrence P. Ebiner, Esq.</w:t>
      </w:r>
    </w:p>
    <w:p>
      <w:pPr>
        <w:pStyle w:val="BodyText2"/>
        <w:spacing w:lineRule="exact" w:line="240"/>
        <w:rPr>
          <w:rFonts w:ascii="Times New Roman" w:hAnsi="Times New Roman" w:cs="Times New Roman"/>
        </w:rPr>
      </w:pPr>
      <w:r>
        <w:rPr>
          <w:rFonts w:cs="Times New Roman" w:ascii="Times New Roman" w:hAnsi="Times New Roman"/>
        </w:rPr>
        <w:t>Jennifer A. Koss, Esq.</w:t>
      </w:r>
    </w:p>
    <w:p>
      <w:pPr>
        <w:pStyle w:val="BodyText2"/>
        <w:spacing w:lineRule="exact" w:line="240"/>
        <w:rPr>
          <w:rFonts w:ascii="Times New Roman" w:hAnsi="Times New Roman" w:cs="Times New Roman"/>
        </w:rPr>
      </w:pPr>
      <w:r>
        <w:rPr>
          <w:rFonts w:cs="Times New Roman" w:ascii="Times New Roman" w:hAnsi="Times New Roman"/>
        </w:rPr>
        <w:t>19900 MacArthur Boulevard, Suite 1200</w:t>
      </w:r>
    </w:p>
    <w:p>
      <w:pPr>
        <w:pStyle w:val="BodyText2"/>
        <w:spacing w:lineRule="exact" w:line="240"/>
        <w:rPr>
          <w:rFonts w:ascii="Times New Roman" w:hAnsi="Times New Roman" w:cs="Times New Roman"/>
        </w:rPr>
      </w:pPr>
      <w:r>
        <w:rPr>
          <w:rFonts w:cs="Times New Roman" w:ascii="Times New Roman" w:hAnsi="Times New Roman"/>
        </w:rPr>
        <w:t>Irvine, CA  92626</w:t>
      </w:r>
    </w:p>
    <w:p>
      <w:pPr>
        <w:pStyle w:val="BodyText2"/>
        <w:spacing w:lineRule="exact" w:line="240"/>
        <w:rPr>
          <w:rFonts w:ascii="Times New Roman" w:hAnsi="Times New Roman" w:cs="Times New Roman"/>
        </w:rPr>
      </w:pPr>
      <w:r>
        <w:rPr>
          <w:rFonts w:cs="Times New Roman" w:ascii="Times New Roman" w:hAnsi="Times New Roman"/>
        </w:rPr>
        <w:t>949/251-0900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GOODIN, MACBRIDE, SQUERI, RITCHIE &amp; DAY, LLP</w:t>
      </w:r>
    </w:p>
    <w:p>
      <w:pPr>
        <w:pStyle w:val="BodyText2"/>
        <w:spacing w:lineRule="exact" w:line="240"/>
        <w:rPr>
          <w:rFonts w:ascii="Times New Roman" w:hAnsi="Times New Roman" w:cs="Times New Roman"/>
        </w:rPr>
      </w:pPr>
      <w:r>
        <w:rPr>
          <w:rFonts w:cs="Times New Roman" w:ascii="Times New Roman" w:hAnsi="Times New Roman"/>
        </w:rPr>
        <w:t>Robert A. Goodin, Esq.</w:t>
      </w:r>
    </w:p>
    <w:p>
      <w:pPr>
        <w:pStyle w:val="BodyText2"/>
        <w:spacing w:lineRule="exact" w:line="240"/>
        <w:rPr>
          <w:rFonts w:ascii="Times New Roman" w:hAnsi="Times New Roman" w:cs="Times New Roman"/>
        </w:rPr>
      </w:pPr>
      <w:r>
        <w:rPr>
          <w:rFonts w:cs="Times New Roman" w:ascii="Times New Roman" w:hAnsi="Times New Roman"/>
        </w:rPr>
        <w:t>Wayne T. Lamprey, Esq.</w:t>
      </w:r>
    </w:p>
    <w:p>
      <w:pPr>
        <w:pStyle w:val="BodyText2"/>
        <w:spacing w:lineRule="exact" w:line="240"/>
        <w:rPr>
          <w:rFonts w:ascii="Times New Roman" w:hAnsi="Times New Roman" w:cs="Times New Roman"/>
        </w:rPr>
      </w:pPr>
      <w:r>
        <w:rPr>
          <w:rFonts w:cs="Times New Roman" w:ascii="Times New Roman" w:hAnsi="Times New Roman"/>
        </w:rPr>
        <w:t>Anne Hayes Hartman, Esq.</w:t>
      </w:r>
    </w:p>
    <w:p>
      <w:pPr>
        <w:pStyle w:val="BodyText2"/>
        <w:spacing w:lineRule="exact" w:line="240"/>
        <w:rPr>
          <w:rFonts w:ascii="Times New Roman" w:hAnsi="Times New Roman" w:cs="Times New Roman"/>
        </w:rPr>
      </w:pPr>
      <w:r>
        <w:rPr>
          <w:rFonts w:cs="Times New Roman" w:ascii="Times New Roman" w:hAnsi="Times New Roman"/>
        </w:rPr>
        <w:t>505 Sansome Street, Suite 900</w:t>
      </w:r>
    </w:p>
    <w:p>
      <w:pPr>
        <w:pStyle w:val="BodyText2"/>
        <w:spacing w:lineRule="exact" w:line="240"/>
        <w:rPr>
          <w:rFonts w:ascii="Times New Roman" w:hAnsi="Times New Roman" w:cs="Times New Roman"/>
        </w:rPr>
      </w:pPr>
      <w:r>
        <w:rPr>
          <w:rFonts w:cs="Times New Roman" w:ascii="Times New Roman" w:hAnsi="Times New Roman"/>
        </w:rPr>
        <w:t>San Francisco, CA  94111</w:t>
      </w:r>
    </w:p>
    <w:p>
      <w:pPr>
        <w:pStyle w:val="BodyText2"/>
        <w:spacing w:lineRule="exact" w:line="240"/>
        <w:rPr>
          <w:rFonts w:ascii="Times New Roman" w:hAnsi="Times New Roman" w:cs="Times New Roman"/>
        </w:rPr>
      </w:pPr>
      <w:r>
        <w:rPr>
          <w:rFonts w:cs="Times New Roman" w:ascii="Times New Roman" w:hAnsi="Times New Roman"/>
        </w:rPr>
        <w:t>415/398-4321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FULBRIGHT &amp; JAWORSKI L.L.P.</w:t>
      </w:r>
    </w:p>
    <w:p>
      <w:pPr>
        <w:pStyle w:val="BodyText2"/>
        <w:spacing w:lineRule="exact" w:line="240"/>
        <w:rPr>
          <w:rFonts w:ascii="Times New Roman" w:hAnsi="Times New Roman" w:cs="Times New Roman"/>
        </w:rPr>
      </w:pPr>
      <w:r>
        <w:rPr>
          <w:rFonts w:cs="Times New Roman" w:ascii="Times New Roman" w:hAnsi="Times New Roman"/>
        </w:rPr>
        <w:t>Thomas A. Freiberg, Jr., Esq.</w:t>
      </w:r>
    </w:p>
    <w:p>
      <w:pPr>
        <w:pStyle w:val="BodyText2"/>
        <w:spacing w:lineRule="exact" w:line="240"/>
        <w:rPr>
          <w:rFonts w:ascii="Times New Roman" w:hAnsi="Times New Roman" w:cs="Times New Roman"/>
        </w:rPr>
      </w:pPr>
      <w:r>
        <w:rPr>
          <w:rFonts w:cs="Times New Roman" w:ascii="Times New Roman" w:hAnsi="Times New Roman"/>
        </w:rPr>
        <w:t>S. David Schreiber, Esq.</w:t>
      </w:r>
    </w:p>
    <w:p>
      <w:pPr>
        <w:pStyle w:val="BodyText2"/>
        <w:spacing w:lineRule="exact" w:line="240"/>
        <w:rPr>
          <w:rFonts w:ascii="Times New Roman" w:hAnsi="Times New Roman" w:cs="Times New Roman"/>
        </w:rPr>
      </w:pPr>
      <w:r>
        <w:rPr>
          <w:rFonts w:cs="Times New Roman" w:ascii="Times New Roman" w:hAnsi="Times New Roman"/>
        </w:rPr>
        <w:t xml:space="preserve">865 S. Figueroa Street, 29th Floor </w:t>
      </w:r>
    </w:p>
    <w:p>
      <w:pPr>
        <w:pStyle w:val="BodyText2"/>
        <w:spacing w:lineRule="exact" w:line="240"/>
        <w:rPr>
          <w:rFonts w:ascii="Times New Roman" w:hAnsi="Times New Roman" w:cs="Times New Roman"/>
        </w:rPr>
      </w:pPr>
      <w:r>
        <w:rPr>
          <w:rFonts w:cs="Times New Roman" w:ascii="Times New Roman" w:hAnsi="Times New Roman"/>
        </w:rPr>
        <w:t>Los Angeles, CA  90017-2576</w:t>
      </w:r>
    </w:p>
    <w:p>
      <w:pPr>
        <w:pStyle w:val="BodyText2"/>
        <w:spacing w:lineRule="exact" w:line="240"/>
        <w:rPr>
          <w:rFonts w:ascii="Times New Roman" w:hAnsi="Times New Roman" w:cs="Times New Roman"/>
        </w:rPr>
      </w:pPr>
      <w:r>
        <w:rPr>
          <w:rFonts w:cs="Times New Roman" w:ascii="Times New Roman" w:hAnsi="Times New Roman"/>
        </w:rPr>
        <w:t>213/680-4518 (fax)</w:t>
      </w:r>
    </w:p>
    <w:p>
      <w:pPr>
        <w:pStyle w:val="BodyText2"/>
        <w:spacing w:lineRule="exact" w:line="240"/>
        <w:rPr>
          <w:rFonts w:ascii="Times New Roman" w:hAnsi="Times New Roman" w:cs="Times New Roman"/>
        </w:rPr>
      </w:pPr>
      <w:r>
        <w:rPr>
          <w:rFonts w:cs="Times New Roman" w:ascii="Times New Roman" w:hAnsi="Times New Roman"/>
        </w:rPr>
      </w:r>
    </w:p>
    <w:p>
      <w:pPr>
        <w:pStyle w:val="BodyText2"/>
        <w:spacing w:lineRule="exact" w:line="240"/>
        <w:rPr>
          <w:rFonts w:ascii="Times New Roman" w:hAnsi="Times New Roman" w:cs="Times New Roman"/>
        </w:rPr>
      </w:pPr>
      <w:r>
        <w:rPr>
          <w:rFonts w:cs="Times New Roman" w:ascii="Times New Roman" w:hAnsi="Times New Roman"/>
        </w:rPr>
        <w:t>PAUL, HASTINGS, JANOFSKY &amp; WALKER LLP</w:t>
      </w:r>
    </w:p>
    <w:p>
      <w:pPr>
        <w:pStyle w:val="BodyText2"/>
        <w:spacing w:lineRule="exact" w:line="240"/>
        <w:rPr>
          <w:rFonts w:ascii="Times New Roman" w:hAnsi="Times New Roman" w:cs="Times New Roman"/>
        </w:rPr>
      </w:pPr>
      <w:r>
        <w:rPr>
          <w:rFonts w:cs="Times New Roman" w:ascii="Times New Roman" w:hAnsi="Times New Roman"/>
        </w:rPr>
        <w:t>Jennifer Baldocchi, Esq.</w:t>
      </w:r>
    </w:p>
    <w:p>
      <w:pPr>
        <w:pStyle w:val="BodyText2"/>
        <w:spacing w:lineRule="exact" w:line="240"/>
        <w:rPr>
          <w:rFonts w:ascii="Times New Roman" w:hAnsi="Times New Roman" w:cs="Times New Roman"/>
        </w:rPr>
      </w:pPr>
      <w:r>
        <w:rPr>
          <w:rFonts w:cs="Times New Roman" w:ascii="Times New Roman" w:hAnsi="Times New Roman"/>
        </w:rPr>
        <w:t xml:space="preserve">555 South Flower Street </w:t>
      </w:r>
    </w:p>
    <w:p>
      <w:pPr>
        <w:pStyle w:val="BodyText2"/>
        <w:spacing w:lineRule="exact" w:line="240"/>
        <w:rPr>
          <w:rFonts w:ascii="Times New Roman" w:hAnsi="Times New Roman" w:cs="Times New Roman"/>
        </w:rPr>
      </w:pPr>
      <w:r>
        <w:rPr>
          <w:rFonts w:cs="Times New Roman" w:ascii="Times New Roman" w:hAnsi="Times New Roman"/>
        </w:rPr>
        <w:t>Los Angeles, CA  90071-2371</w:t>
      </w:r>
    </w:p>
    <w:p>
      <w:pPr>
        <w:pStyle w:val="BodyText2"/>
        <w:spacing w:lineRule="exact" w:line="240"/>
        <w:rPr>
          <w:rFonts w:ascii="Times New Roman" w:hAnsi="Times New Roman" w:cs="Times New Roman"/>
        </w:rPr>
      </w:pPr>
      <w:r>
        <w:rPr>
          <w:rFonts w:cs="Times New Roman" w:ascii="Times New Roman" w:hAnsi="Times New Roman"/>
        </w:rPr>
        <w:t>213/627-0705 (fax)</w:t>
      </w:r>
    </w:p>
    <w:p>
      <w:pPr>
        <w:pStyle w:val="BodyText2"/>
        <w:spacing w:lineRule="exact" w:line="240"/>
        <w:rPr>
          <w:rFonts w:ascii="Times New Roman" w:hAnsi="Times New Roman" w:cs="Times New Roman"/>
        </w:rPr>
      </w:pPr>
      <w:r>
        <w:rPr>
          <w:rFonts w:cs="Times New Roman" w:ascii="Times New Roman" w:hAnsi="Times New Roman"/>
        </w:rPr>
      </w:r>
    </w:p>
    <w:p>
      <w:pPr>
        <w:pStyle w:val="Normal"/>
        <w:widowControl/>
        <w:autoSpaceDE w:val="false"/>
        <w:spacing w:lineRule="auto" w:line="240"/>
        <w:rPr>
          <w:rFonts w:ascii="Times New Roman" w:hAnsi="Times New Roman" w:cs="Times New Roman"/>
        </w:rPr>
      </w:pPr>
      <w:r>
        <w:rPr>
          <w:rFonts w:cs="Times New Roman" w:ascii="Times New Roman" w:hAnsi="Times New Roman"/>
        </w:rPr>
        <w:t>James Crossen, Esq.</w:t>
      </w:r>
    </w:p>
    <w:p>
      <w:pPr>
        <w:pStyle w:val="Normal"/>
        <w:widowControl/>
        <w:autoSpaceDE w:val="false"/>
        <w:spacing w:lineRule="auto" w:line="240"/>
        <w:rPr>
          <w:rFonts w:ascii="Times New Roman" w:hAnsi="Times New Roman" w:cs="Times New Roman"/>
        </w:rPr>
      </w:pPr>
      <w:r>
        <w:rPr>
          <w:rFonts w:cs="Times New Roman" w:ascii="Times New Roman" w:hAnsi="Times New Roman"/>
        </w:rPr>
        <w:t>APX, Inc.</w:t>
      </w:r>
    </w:p>
    <w:p>
      <w:pPr>
        <w:pStyle w:val="Normal"/>
        <w:widowControl/>
        <w:autoSpaceDE w:val="false"/>
        <w:spacing w:lineRule="auto" w:line="240"/>
        <w:rPr>
          <w:rFonts w:ascii="Times New Roman" w:hAnsi="Times New Roman" w:cs="Times New Roman"/>
        </w:rPr>
      </w:pPr>
      <w:r>
        <w:rPr>
          <w:rFonts w:cs="Times New Roman" w:ascii="Times New Roman" w:hAnsi="Times New Roman"/>
        </w:rPr>
        <w:t>5201 Great America Parkway #522\</w:t>
      </w:r>
    </w:p>
    <w:p>
      <w:pPr>
        <w:pStyle w:val="BodyText2"/>
        <w:spacing w:lineRule="exact" w:line="240"/>
        <w:rPr>
          <w:rFonts w:ascii="Times New Roman" w:hAnsi="Times New Roman" w:cs="Times New Roman"/>
        </w:rPr>
      </w:pPr>
      <w:r>
        <w:rPr>
          <w:rFonts w:cs="Times New Roman" w:ascii="Times New Roman" w:hAnsi="Times New Roman"/>
        </w:rPr>
        <w:t>Santa Clara, California 95054</w:t>
      </w:r>
    </w:p>
    <w:p>
      <w:pPr>
        <w:pStyle w:val="BodyText2"/>
        <w:spacing w:lineRule="auto" w:line="240"/>
        <w:rPr>
          <w:rFonts w:ascii="Times New Roman" w:hAnsi="Times New Roman" w:cs="Times New Roman"/>
        </w:rPr>
      </w:pPr>
      <w:r>
        <w:rPr>
          <w:rFonts w:cs="Times New Roman" w:ascii="Times New Roman" w:hAnsi="Times New Roman"/>
        </w:rPr>
        <w:t>408/517-2985 (fax)</w:t>
      </w:r>
    </w:p>
    <w:sectPr>
      <w:headerReference w:type="default" r:id="rId2"/>
      <w:footerReference w:type="default" r:id="rId3"/>
      <w:footnotePr>
        <w:numFmt w:val="decimal"/>
      </w:footnotePr>
      <w:type w:val="nextPage"/>
      <w:pgSz w:w="12240" w:h="15840"/>
      <w:pgMar w:left="1800" w:right="547" w:gutter="0" w:header="720" w:top="1296" w:footer="36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EngraversGothic BT">
    <w:charset w:val="00" w:characterSet="windows-1252"/>
    <w:family w:val="swiss"/>
    <w:pitch w:val="variable"/>
  </w:font>
  <w:font w:name="BernhardMod BT">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12</w:t>
    </w:r>
    <w:r>
      <w:rPr>
        <w:rStyle w:val="PageNumber"/>
        <w:sz w:val="22"/>
        <w:rFonts w:cs="Times New Roman" w:ascii="Times New Roman" w:hAnsi="Times New Roman"/>
      </w:rPr>
      <w:fldChar w:fldCharType="end"/>
    </w:r>
  </w:p>
  <w:p>
    <w:pPr>
      <w:pStyle w:val="AbbreviatedTitle"/>
      <w:rPr/>
    </w:pPr>
    <w:r>
      <w:rPr/>
      <w:t>CALPX STATEMENT RE [PROPOSED] PRELIMINARY INJUNCTION</w:t>
    </w:r>
  </w:p>
  <w:p>
    <w:pPr>
      <w:pStyle w:val="AbbreviatedTitle"/>
      <w:jc w:val="start"/>
      <w:rPr>
        <w:sz w:val="12"/>
      </w:rPr>
    </w:pPr>
    <w:r>
      <w:rPr>
        <w:sz w:val="12"/>
      </w:rPr>
      <w:fldChar w:fldCharType="begin"/>
    </w:r>
    <w:r>
      <w:rPr>
        <w:sz w:val="12"/>
      </w:rPr>
      <w:instrText xml:space="preserve"> FILENAME \p </w:instrText>
    </w:r>
    <w:r>
      <w:rPr>
        <w:sz w:val="12"/>
      </w:rPr>
      <w:fldChar w:fldCharType="separate"/>
    </w:r>
    <w:r>
      <w:rPr>
        <w:sz w:val="12"/>
      </w:rPr>
      <w:t>/mnt/main-storage/datasets/enron-docs/doc/calpx5.doc</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ab/>
        <w:t>Transcript of February 20, 2001 hearing, page 34, lines 18-20.</w:t>
      </w:r>
    </w:p>
  </w:footnote>
  <w:footnote w:id="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ab/>
        <w:t>Transcript of February 20, 2001 hearing, page 34, lines 21-23.</w:t>
      </w:r>
    </w:p>
    <w:p>
      <w:pPr>
        <w:pStyle w:val="FootnoteText"/>
        <w:rPr>
          <w:rFonts w:ascii="Times New Roman" w:hAnsi="Times New Roman" w:cs="Times New Roman"/>
        </w:rPr>
      </w:pPr>
      <w:r>
        <w:rPr>
          <w:rFonts w:cs="Times New Roman" w:ascii="Times New Roman" w:hAnsi="Times New Roman"/>
        </w:rPr>
      </w:r>
    </w:p>
  </w:footnote>
  <w:footnote w:id="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ab/>
        <w:t>The Preliminary Injunction also includes, in paragraphs 7 and 8, the Enron-specific relief (pertaining to the Indemnity Agreement issue) that was granted in the Stipulated Injunction entered in Case No. 01-00901 on February 21, 2001.  These provisions are included in the Preliminary Injunction (which specifically supersedes the Stipulated Injunction) so that a single Order may be entered in the above-numbered cases.  CalPX understands that Enron does not object to entry of the Preliminary Injunction.</w:t>
      </w:r>
    </w:p>
  </w:footnote>
  <w:footnote w:id="5">
    <w:p>
      <w:pPr>
        <w:pStyle w:val="FootnoteText"/>
        <w:rPr/>
      </w:pPr>
      <w:r>
        <w:rPr>
          <w:rStyle w:val="FootnoteCharacters"/>
        </w:rPr>
        <w:footnoteRef/>
      </w:r>
      <w:r>
        <w:rPr>
          <w:rFonts w:cs="Times New Roman" w:ascii="Times New Roman" w:hAnsi="Times New Roman"/>
        </w:rPr>
        <w:tab/>
        <w:t>We note that certain additional participants have purported to join in the TRO requests of other participants, or have filed their own TRO applications on which this Court has not ruled.</w:t>
      </w:r>
    </w:p>
  </w:footnote>
  <w:footnote w:id="6">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ab/>
        <w:t xml:space="preserve">It also runs counter to Avista’s own decision to file the FERC Complaint on February 8.  That action by Avista also conflicts with Avista’s additional suggestion that the reference to FERC’s jurisdiction (Preliminary Injunction, page 2, lines 27-28) be stricken.  CalPX also notes that, in any event, </w:t>
      </w:r>
      <w:r>
        <w:rPr>
          <w:rFonts w:cs="Times New Roman" w:ascii="Times New Roman" w:hAnsi="Times New Roman"/>
          <w:u w:val="single"/>
        </w:rPr>
        <w:t>arbitration</w:t>
      </w:r>
      <w:r>
        <w:rPr>
          <w:rFonts w:cs="Times New Roman" w:ascii="Times New Roman" w:hAnsi="Times New Roman"/>
        </w:rPr>
        <w:t xml:space="preserve"> of charge back-related issues is not called for by the alternative dispute resolution procedures of the PX Tariff, which specifically excludes from the PX ADR procedures “disputes as to whether rates and charges set forth in the PX Tariff are just and reasonable” under the Federal Power Act.  (PX Tariff, Schedule 9, ¶1.1(d), at page 173.)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bCs/>
        <w:i/>
        <w:i/>
        <w:iCs/>
        <w:sz w:val="28"/>
        <w:lang w:val="en-CA" w:eastAsia="en-CA"/>
      </w:rPr>
    </w:pPr>
    <w:r>
      <w:rPr>
        <w:rFonts w:cs="Times New Roman" w:ascii="Times New Roman" w:hAnsi="Times New Roman"/>
        <w:b/>
        <w:bCs/>
        <w:i/>
        <w:iCs/>
        <w:sz w:val="28"/>
        <w:lang w:val="en-CA" w:eastAsia="en-CA"/>
      </w:rPr>
      <mc:AlternateContent>
        <mc:Choice Requires="wps">
          <w:drawing>
            <wp:anchor behindDoc="1" distT="0" distB="0" distL="114935" distR="114935" simplePos="0" locked="0" layoutInCell="0" allowOverlap="1" relativeHeight="13">
              <wp:simplePos x="0" y="0"/>
              <wp:positionH relativeFrom="margin">
                <wp:posOffset>-45720</wp:posOffset>
              </wp:positionH>
              <wp:positionV relativeFrom="page">
                <wp:posOffset>0</wp:posOffset>
              </wp:positionV>
              <wp:extent cx="0" cy="10058400"/>
              <wp:effectExtent l="5080" t="0" r="5080" b="0"/>
              <wp:wrapNone/>
              <wp:docPr id="1" name="LeftBorder1"/>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5">
              <wp:simplePos x="0" y="0"/>
              <wp:positionH relativeFrom="margin">
                <wp:posOffset>-91440</wp:posOffset>
              </wp:positionH>
              <wp:positionV relativeFrom="page">
                <wp:posOffset>0</wp:posOffset>
              </wp:positionV>
              <wp:extent cx="0" cy="10058400"/>
              <wp:effectExtent l="5080" t="0" r="5080" b="0"/>
              <wp:wrapNone/>
              <wp:docPr id="2" name="LeftBorder2"/>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37">
              <wp:simplePos x="0" y="0"/>
              <wp:positionH relativeFrom="margin">
                <wp:posOffset>6400800</wp:posOffset>
              </wp:positionH>
              <wp:positionV relativeFrom="page">
                <wp:posOffset>0</wp:posOffset>
              </wp:positionV>
              <wp:extent cx="0" cy="10058400"/>
              <wp:effectExtent l="5080" t="0" r="5080" b="0"/>
              <wp:wrapNone/>
              <wp:docPr id="3" name="RightBorder"/>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0pt" to="504pt,791.95pt" ID="RightBorder"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300" simplePos="0" locked="0" layoutInCell="1" allowOverlap="1" relativeHeight="61">
              <wp:simplePos x="0" y="0"/>
              <wp:positionH relativeFrom="column">
                <wp:posOffset>-1059180</wp:posOffset>
              </wp:positionH>
              <wp:positionV relativeFrom="paragraph">
                <wp:posOffset>3737610</wp:posOffset>
              </wp:positionV>
              <wp:extent cx="654685" cy="1333500"/>
              <wp:effectExtent l="635" t="0" r="0" b="0"/>
              <wp:wrapNone/>
              <wp:docPr id="4" name="Box2"/>
              <a:graphic xmlns:a="http://schemas.openxmlformats.org/drawingml/2006/main">
                <a:graphicData uri="http://schemas.microsoft.com/office/word/2010/wordprocessingShape">
                  <wps:wsp>
                    <wps:cNvSpPr/>
                    <wps:spPr>
                      <a:xfrm>
                        <a:off x="0" y="0"/>
                        <a:ext cx="654840" cy="1333440"/>
                      </a:xfrm>
                      <a:prstGeom prst="rect">
                        <a:avLst/>
                      </a:prstGeom>
                      <a:noFill/>
                      <a:ln w="0">
                        <a:noFill/>
                      </a:ln>
                    </wps:spPr>
                    <wps:style>
                      <a:lnRef idx="0"/>
                      <a:fillRef idx="0"/>
                      <a:effectRef idx="0"/>
                      <a:fontRef idx="minor"/>
                    </wps:style>
                    <wps:bodyPr/>
                  </wps:wsp>
                </a:graphicData>
              </a:graphic>
            </wp:anchor>
          </w:drawing>
        </mc:Choice>
        <mc:Fallback>
          <w:pict>
            <v:rect id="shape_0" ID="Box2" stroked="f" o:allowincell="f" style="position:absolute;margin-left:-83.4pt;margin-top:294.3pt;width:51.5pt;height:104.95pt;mso-wrap-style:none;v-text-anchor:middle">
              <v:fill o:detectmouseclick="t" on="false"/>
              <v:stroke color="#3465a4" joinstyle="round" endcap="flat"/>
              <w10:wrap type="none"/>
            </v:rect>
          </w:pict>
        </mc:Fallback>
      </mc:AlternateContent>
    </w:r>
    <w:r>
      <mc:AlternateContent>
        <mc:Choice Requires="wps">
          <w:drawing>
            <wp:anchor behindDoc="1" distT="0" distB="0" distL="114935" distR="114935" simplePos="0" locked="0" layoutInCell="0" allowOverlap="1" relativeHeight="49">
              <wp:simplePos x="0" y="0"/>
              <wp:positionH relativeFrom="margin">
                <wp:posOffset>-640080</wp:posOffset>
              </wp:positionH>
              <wp:positionV relativeFrom="margin">
                <wp:posOffset>0</wp:posOffset>
              </wp:positionV>
              <wp:extent cx="457200" cy="8595360"/>
              <wp:effectExtent l="0" t="0" r="0" b="0"/>
              <wp:wrapNone/>
              <wp:docPr id="5" name="Frame2"/>
              <a:graphic xmlns:a="http://schemas.openxmlformats.org/drawingml/2006/main">
                <a:graphicData uri="http://schemas.microsoft.com/office/word/2010/wordprocessingShape">
                  <wps:wsp>
                    <wps:cNvSpPr txBox="1"/>
                    <wps:spPr>
                      <a:xfrm>
                        <a:off x="0" y="0"/>
                        <a:ext cx="457200" cy="8595360"/>
                      </a:xfrm>
                      <a:prstGeom prst="rect"/>
                      <a:solidFill>
                        <a:srgbClr val="FFFFFF"/>
                      </a:solidFill>
                    </wps:spPr>
                    <wps:txbx>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wps:txbx>
                    <wps:bodyPr anchor="t" lIns="635" tIns="635" rIns="635" bIns="635">
                      <a:noAutofit/>
                    </wps:bodyPr>
                  </wps:wsp>
                </a:graphicData>
              </a:graphic>
            </wp:anchor>
          </w:drawing>
        </mc:Choice>
        <mc:Fallback>
          <w:pict>
            <v:rect fillcolor="#FFFFFF" style="position:absolute;rotation:-0;width:36pt;height:676.8pt;mso-wrap-distance-left:9.05pt;mso-wrap-distance-right:9.05pt;mso-wrap-distance-top:0pt;mso-wrap-distance-bottom:0pt;margin-top:0pt;mso-position-vertical-relative:margin;margin-left:-50.4pt;mso-position-horizontal-relative:margin">
              <v:textbox inset="0.000694444444444445in,0.000694444444444445in,0.000694444444444445in,0.000694444444444445in">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i w:val="false"/>
        <w:u w:val="none"/>
        <w:b/>
      </w:rPr>
    </w:lvl>
    <w:lvl w:ilvl="1">
      <w:start w:val="1"/>
      <w:pStyle w:val="Heading2"/>
      <w:numFmt w:val="upperLetter"/>
      <w:lvlText w:val="%2."/>
      <w:lvlJc w:val="end"/>
      <w:pPr>
        <w:tabs>
          <w:tab w:val="num" w:pos="1440"/>
        </w:tabs>
        <w:ind w:start="1440" w:hanging="360"/>
      </w:pPr>
      <w:rPr>
        <w:i w:val="false"/>
        <w:u w:val="none"/>
        <w:b/>
      </w:rPr>
    </w:lvl>
    <w:lvl w:ilvl="2">
      <w:start w:val="1"/>
      <w:pStyle w:val="Heading3"/>
      <w:numFmt w:val="decimal"/>
      <w:lvlText w:val="%3."/>
      <w:lvlJc w:val="end"/>
      <w:pPr>
        <w:tabs>
          <w:tab w:val="num" w:pos="2160"/>
        </w:tabs>
        <w:ind w:start="2160" w:hanging="360"/>
      </w:pPr>
      <w:rPr>
        <w:i w:val="false"/>
        <w:u w:val="none"/>
        <w:b/>
      </w:rPr>
    </w:lvl>
    <w:lvl w:ilvl="3">
      <w:start w:val="1"/>
      <w:pStyle w:val="Heading4"/>
      <w:numFmt w:val="lowerLetter"/>
      <w:lvlText w:val="%4."/>
      <w:lvlJc w:val="end"/>
      <w:pPr>
        <w:tabs>
          <w:tab w:val="num" w:pos="2880"/>
        </w:tabs>
        <w:ind w:start="2880" w:hanging="360"/>
      </w:pPr>
      <w:rPr>
        <w:i w:val="false"/>
        <w:u w:val="none"/>
        <w:b/>
      </w:rPr>
    </w:lvl>
    <w:lvl w:ilvl="4">
      <w:start w:val="1"/>
      <w:pStyle w:val="Heading5"/>
      <w:numFmt w:val="decimal"/>
      <w:lvlText w:val="(%5)"/>
      <w:lvlJc w:val="end"/>
      <w:pPr>
        <w:tabs>
          <w:tab w:val="num" w:pos="3600"/>
        </w:tabs>
        <w:ind w:start="3600" w:hanging="360"/>
      </w:pPr>
      <w:rPr>
        <w:i w:val="false"/>
        <w:u w:val="none"/>
        <w:b/>
      </w:rPr>
    </w:lvl>
    <w:lvl w:ilvl="5">
      <w:start w:val="1"/>
      <w:pStyle w:val="Heading6"/>
      <w:numFmt w:val="lowerLetter"/>
      <w:lvlText w:val="(%6)"/>
      <w:lvlJc w:val="end"/>
      <w:pPr>
        <w:tabs>
          <w:tab w:val="num" w:pos="4320"/>
        </w:tabs>
        <w:ind w:start="4320" w:hanging="360"/>
      </w:pPr>
      <w:rPr>
        <w:i w:val="false"/>
        <w:b/>
      </w:rPr>
    </w:lvl>
    <w:lvl w:ilvl="6">
      <w:start w:val="1"/>
      <w:pStyle w:val="Heading7"/>
      <w:numFmt w:val="none"/>
      <w:suff w:val="nothing"/>
      <w:lvlText w:val="Level Not Defined"/>
      <w:lvlJc w:val="start"/>
      <w:pPr>
        <w:tabs>
          <w:tab w:val="num" w:pos="2880"/>
        </w:tabs>
        <w:ind w:start="0" w:hanging="0"/>
      </w:pPr>
      <w:rPr>
        <w:i w:val="false"/>
        <w:b/>
      </w:rPr>
    </w:lvl>
    <w:lvl w:ilvl="7">
      <w:start w:val="1"/>
      <w:pStyle w:val="Heading8"/>
      <w:numFmt w:val="none"/>
      <w:suff w:val="nothing"/>
      <w:lvlText w:val="Level Not Defined"/>
      <w:lvlJc w:val="start"/>
      <w:pPr>
        <w:tabs>
          <w:tab w:val="num" w:pos="2880"/>
        </w:tabs>
        <w:ind w:start="0" w:hanging="0"/>
      </w:pPr>
      <w:rPr>
        <w:i w:val="false"/>
        <w:b/>
      </w:rPr>
    </w:lvl>
    <w:lvl w:ilvl="8">
      <w:start w:val="1"/>
      <w:pStyle w:val="Heading9"/>
      <w:numFmt w:val="none"/>
      <w:suff w:val="nothing"/>
      <w:lvlText w:val="Level Not Defined"/>
      <w:lvlJc w:val="start"/>
      <w:pPr>
        <w:tabs>
          <w:tab w:val="num" w:pos="2880"/>
        </w:tabs>
        <w:ind w:start="0" w:hanging="0"/>
      </w:pPr>
      <w:rPr>
        <w:i w:val="false"/>
        <w:b/>
      </w:rPr>
    </w:lvl>
  </w:abstractNum>
  <w:abstractNum w:abstractNumId="2">
    <w:lvl w:ilvl="0">
      <w:start w:val="1"/>
      <w:numFmt w:val="decimal"/>
      <w:lvlText w:val="%1."/>
      <w:lvlJc w:val="end"/>
      <w:pPr>
        <w:tabs>
          <w:tab w:val="num" w:pos="1440"/>
        </w:tabs>
        <w:ind w:start="0" w:firstLine="1080"/>
      </w:pPr>
    </w:lvl>
    <w:lvl w:ilvl="1">
      <w:start w:val="1"/>
      <w:numFmt w:val="lowerLetter"/>
      <w:lvlText w:val="%2."/>
      <w:lvlJc w:val="end"/>
      <w:pPr>
        <w:tabs>
          <w:tab w:val="num" w:pos="2160"/>
        </w:tabs>
        <w:ind w:start="0" w:firstLine="1800"/>
      </w:pPr>
    </w:lvl>
    <w:lvl w:ilvl="2">
      <w:start w:val="1"/>
      <w:numFmt w:val="lowerRoman"/>
      <w:lvlText w:val="%3."/>
      <w:lvlJc w:val="end"/>
      <w:pPr>
        <w:tabs>
          <w:tab w:val="num" w:pos="2880"/>
        </w:tabs>
        <w:ind w:start="0" w:firstLine="2520"/>
      </w:pPr>
    </w:lvl>
    <w:lvl w:ilvl="3">
      <w:start w:val="1"/>
      <w:numFmt w:val="none"/>
      <w:suff w:val="nothing"/>
      <w:lvlText w:val="Level Not Defined"/>
      <w:lvlJc w:val="start"/>
      <w:pPr>
        <w:tabs>
          <w:tab w:val="num" w:pos="0"/>
        </w:tabs>
        <w:ind w:start="0" w:hanging="0"/>
      </w:pPr>
      <w:rPr>
        <w:i w:val="false"/>
        <w:b/>
      </w:rPr>
    </w:lvl>
    <w:lvl w:ilvl="4">
      <w:start w:val="1"/>
      <w:numFmt w:val="none"/>
      <w:suff w:val="nothing"/>
      <w:lvlText w:val="Level Not Defined"/>
      <w:lvlJc w:val="start"/>
      <w:pPr>
        <w:tabs>
          <w:tab w:val="num" w:pos="0"/>
        </w:tabs>
        <w:ind w:start="0" w:hanging="0"/>
      </w:pPr>
      <w:rPr>
        <w:i w:val="false"/>
        <w:b/>
      </w:rPr>
    </w:lvl>
    <w:lvl w:ilvl="5">
      <w:start w:val="1"/>
      <w:numFmt w:val="none"/>
      <w:suff w:val="nothing"/>
      <w:lvlText w:val="Level Not Defined"/>
      <w:lvlJc w:val="start"/>
      <w:pPr>
        <w:tabs>
          <w:tab w:val="num" w:pos="0"/>
        </w:tabs>
        <w:ind w:start="0" w:hanging="0"/>
      </w:pPr>
      <w:rPr>
        <w:i w:val="false"/>
        <w:b/>
      </w:rPr>
    </w:lvl>
    <w:lvl w:ilvl="6">
      <w:start w:val="1"/>
      <w:numFmt w:val="none"/>
      <w:suff w:val="nothing"/>
      <w:lvlText w:val="Level Not Defined"/>
      <w:lvlJc w:val="start"/>
      <w:pPr>
        <w:tabs>
          <w:tab w:val="num" w:pos="0"/>
        </w:tabs>
        <w:ind w:start="0" w:hanging="0"/>
      </w:pPr>
      <w:rPr>
        <w:i w:val="false"/>
        <w:b/>
      </w:rPr>
    </w:lvl>
    <w:lvl w:ilvl="7">
      <w:start w:val="1"/>
      <w:numFmt w:val="none"/>
      <w:suff w:val="nothing"/>
      <w:lvlText w:val="Level Not Defined"/>
      <w:lvlJc w:val="start"/>
      <w:pPr>
        <w:tabs>
          <w:tab w:val="num" w:pos="0"/>
        </w:tabs>
        <w:ind w:start="0" w:hanging="0"/>
      </w:pPr>
      <w:rPr>
        <w:i w:val="false"/>
        <w:b/>
      </w:rPr>
    </w:lvl>
    <w:lvl w:ilvl="8">
      <w:start w:val="1"/>
      <w:numFmt w:val="none"/>
      <w:suff w:val="nothing"/>
      <w:lvlText w:val="Level Not Defined"/>
      <w:lvlJc w:val="start"/>
      <w:pPr>
        <w:tabs>
          <w:tab w:val="num" w:pos="0"/>
        </w:tabs>
        <w:ind w:start="0" w:hanging="0"/>
      </w:pPr>
      <w:rPr>
        <w:i w:val="false"/>
        <w:b/>
      </w:rPr>
    </w:lvl>
  </w:abstractNum>
  <w:abstractNum w:abstractNumId="3">
    <w:lvl w:ilvl="0">
      <w:start w:val="1"/>
      <w:numFmt w:val="decimal"/>
      <w:suff w:val="space"/>
      <w:lvlText w:val="SUPPLEMENTAL SPECIAL INTERROGATORY NO."/>
      <w:lvlJc w:val="start"/>
      <w:pPr>
        <w:tabs>
          <w:tab w:val="num" w:pos="0"/>
        </w:tabs>
        <w:ind w:start="0" w:hanging="0"/>
      </w:pPr>
      <w:rPr>
        <w:i w:val="false"/>
        <w:b/>
      </w:rPr>
    </w:lvl>
    <w:lvl w:ilvl="1">
      <w:start w:val="1"/>
      <w:numFmt w:val="decimal"/>
      <w:suff w:val="nothing"/>
      <w:lvlText w:val="SUPPLEMENTAL RESPONSE TO SPECIAL INTERROGATORY NO."/>
      <w:lvlJc w:val="start"/>
      <w:pPr>
        <w:tabs>
          <w:tab w:val="num" w:pos="0"/>
        </w:tabs>
        <w:ind w:start="0" w:hanging="0"/>
      </w:pPr>
      <w:rPr>
        <w:b/>
      </w:rPr>
    </w:lvl>
    <w:lvl w:ilvl="2">
      <w:start w:val="1"/>
      <w:numFmt w:val="decimal"/>
      <w:suff w:val="nothing"/>
      <w:lvlText w:val="%3"/>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docVars>
    <w:docVar w:name="AttorneyName" w:val="-1"/>
    <w:docVar w:name="CaptionBoxStyle" w:val="0"/>
    <w:docVar w:name="CourtAlignment" w:val="1"/>
    <w:docVar w:name="CourtName" w:val="SUPERIOR COURT FOR THE STATE OF CALIFORNIA"/>
    <w:docVar w:name="FirmInFtr" w:val="0"/>
    <w:docVar w:name="FirmInSigBlkStyle" w:val="0"/>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480"/>
    </w:pPr>
    <w:rPr>
      <w:rFonts w:ascii="Courier New" w:hAnsi="Courier New" w:eastAsia="Times New Roman" w:cs="Courier New"/>
      <w:color w:val="auto"/>
      <w:sz w:val="24"/>
      <w:szCs w:val="20"/>
      <w:lang w:val="en-US" w:bidi="ar-SA" w:eastAsia="zh-CN"/>
    </w:rPr>
  </w:style>
  <w:style w:type="paragraph" w:styleId="Heading1">
    <w:name w:val="heading 1"/>
    <w:basedOn w:val="Normal"/>
    <w:next w:val="BodyText2"/>
    <w:qFormat/>
    <w:pPr>
      <w:keepNext w:val="true"/>
      <w:numPr>
        <w:ilvl w:val="0"/>
        <w:numId w:val="1"/>
      </w:numPr>
      <w:tabs>
        <w:tab w:val="clear" w:pos="720"/>
        <w:tab w:val="left" w:pos="360" w:leader="none"/>
      </w:tabs>
      <w:outlineLvl w:val="0"/>
    </w:pPr>
    <w:rPr>
      <w:b/>
      <w:caps/>
    </w:rPr>
  </w:style>
  <w:style w:type="paragraph" w:styleId="Heading2">
    <w:name w:val="heading 2"/>
    <w:basedOn w:val="Normal"/>
    <w:next w:val="BodyText2"/>
    <w:qFormat/>
    <w:pPr>
      <w:keepNext w:val="true"/>
      <w:numPr>
        <w:ilvl w:val="1"/>
        <w:numId w:val="1"/>
      </w:numPr>
      <w:outlineLvl w:val="1"/>
    </w:pPr>
    <w:rPr>
      <w:b/>
    </w:rPr>
  </w:style>
  <w:style w:type="paragraph" w:styleId="Heading3">
    <w:name w:val="heading 3"/>
    <w:basedOn w:val="Normal"/>
    <w:next w:val="BodyText2"/>
    <w:qFormat/>
    <w:pPr>
      <w:keepNext w:val="true"/>
      <w:numPr>
        <w:ilvl w:val="2"/>
        <w:numId w:val="1"/>
      </w:numPr>
      <w:outlineLvl w:val="2"/>
    </w:pPr>
    <w:rPr>
      <w:b/>
    </w:rPr>
  </w:style>
  <w:style w:type="paragraph" w:styleId="Heading4">
    <w:name w:val="heading 4"/>
    <w:basedOn w:val="Normal"/>
    <w:next w:val="BodyText2"/>
    <w:qFormat/>
    <w:pPr>
      <w:keepNext w:val="true"/>
      <w:numPr>
        <w:ilvl w:val="3"/>
        <w:numId w:val="1"/>
      </w:numPr>
      <w:outlineLvl w:val="3"/>
    </w:pPr>
    <w:rPr>
      <w:b/>
    </w:rPr>
  </w:style>
  <w:style w:type="paragraph" w:styleId="Heading5">
    <w:name w:val="heading 5"/>
    <w:basedOn w:val="Normal"/>
    <w:next w:val="BodyText2"/>
    <w:qFormat/>
    <w:pPr>
      <w:keepNext w:val="true"/>
      <w:numPr>
        <w:ilvl w:val="4"/>
        <w:numId w:val="1"/>
      </w:numPr>
      <w:outlineLvl w:val="4"/>
    </w:pPr>
    <w:rPr>
      <w:b/>
    </w:rPr>
  </w:style>
  <w:style w:type="paragraph" w:styleId="Heading6">
    <w:name w:val="heading 6"/>
    <w:basedOn w:val="Normal"/>
    <w:next w:val="Normal"/>
    <w:qFormat/>
    <w:pPr>
      <w:numPr>
        <w:ilvl w:val="5"/>
        <w:numId w:val="1"/>
      </w:numPr>
      <w:outlineLvl w:val="5"/>
    </w:pPr>
    <w:rPr>
      <w:b/>
      <w:u w:val="single"/>
    </w:rPr>
  </w:style>
  <w:style w:type="paragraph" w:styleId="Heading7">
    <w:name w:val="heading 7"/>
    <w:basedOn w:val="Normal"/>
    <w:next w:val="Normal"/>
    <w:qFormat/>
    <w:pPr>
      <w:numPr>
        <w:ilvl w:val="6"/>
        <w:numId w:val="1"/>
      </w:numPr>
      <w:outlineLvl w:val="6"/>
    </w:pPr>
    <w:rPr>
      <w:b/>
      <w:u w:val="single"/>
    </w:rPr>
  </w:style>
  <w:style w:type="paragraph" w:styleId="Heading8">
    <w:name w:val="heading 8"/>
    <w:basedOn w:val="Normal"/>
    <w:next w:val="Normal"/>
    <w:qFormat/>
    <w:pPr>
      <w:numPr>
        <w:ilvl w:val="7"/>
        <w:numId w:val="1"/>
      </w:numPr>
      <w:outlineLvl w:val="7"/>
    </w:pPr>
    <w:rPr>
      <w:b/>
      <w:u w:val="single"/>
    </w:rPr>
  </w:style>
  <w:style w:type="paragraph" w:styleId="Heading9">
    <w:name w:val="heading 9"/>
    <w:basedOn w:val="Normal"/>
    <w:next w:val="Normal"/>
    <w:qFormat/>
    <w:pPr>
      <w:numPr>
        <w:ilvl w:val="8"/>
        <w:numId w:val="1"/>
      </w:numPr>
      <w:outlineLvl w:val="8"/>
    </w:pPr>
    <w:rPr>
      <w:b/>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i w:val="false"/>
      <w:u w:val="none"/>
    </w:rPr>
  </w:style>
  <w:style w:type="character" w:styleId="WW8Num10z5">
    <w:name w:val="WW8Num10z5"/>
    <w:qFormat/>
    <w:rPr>
      <w:b/>
      <w:i w:val="false"/>
    </w:rPr>
  </w:style>
  <w:style w:type="character" w:styleId="WW8Num11z0">
    <w:name w:val="WW8Num11z0"/>
    <w:qFormat/>
    <w:rPr/>
  </w:style>
  <w:style w:type="character" w:styleId="WW8Num12z3">
    <w:name w:val="WW8Num12z3"/>
    <w:qFormat/>
    <w:rPr>
      <w:b/>
      <w:i w:val="false"/>
    </w:rPr>
  </w:style>
  <w:style w:type="character" w:styleId="WW8Num13z0">
    <w:name w:val="WW8Num13z0"/>
    <w:qFormat/>
    <w:rPr>
      <w:rFonts w:ascii="Times New Roman" w:hAnsi="Times New Roman" w:cs="Times New Roman"/>
      <w:b w:val="false"/>
      <w:i w:val="false"/>
      <w:sz w:val="24"/>
    </w:rPr>
  </w:style>
  <w:style w:type="character" w:styleId="WW8Num13z1">
    <w:name w:val="WW8Num13z1"/>
    <w:qFormat/>
    <w:rPr>
      <w:rFonts w:ascii="Times New Roman" w:hAnsi="Times New Roman" w:cs="Times New Roman"/>
      <w:sz w:val="24"/>
    </w:rPr>
  </w:style>
  <w:style w:type="character" w:styleId="WW8Num14z0">
    <w:name w:val="WW8Num14z0"/>
    <w:qFormat/>
    <w:rPr>
      <w:b/>
      <w:i w:val="false"/>
      <w:u w:val="none"/>
    </w:rPr>
  </w:style>
  <w:style w:type="character" w:styleId="WW8Num14z5">
    <w:name w:val="WW8Num14z5"/>
    <w:qFormat/>
    <w:rPr>
      <w:b/>
      <w:i w:val="false"/>
    </w:rPr>
  </w:style>
  <w:style w:type="character" w:styleId="WW8Num15z0">
    <w:name w:val="WW8Num15z0"/>
    <w:qFormat/>
    <w:rPr/>
  </w:style>
  <w:style w:type="character" w:styleId="WW8Num16z0">
    <w:name w:val="WW8Num16z0"/>
    <w:qFormat/>
    <w:rPr>
      <w:b/>
      <w:i w:val="false"/>
    </w:rPr>
  </w:style>
  <w:style w:type="character" w:styleId="WW8Num16z1">
    <w:name w:val="WW8Num16z1"/>
    <w:qFormat/>
    <w:rPr>
      <w:b/>
    </w:rPr>
  </w:style>
  <w:style w:type="character" w:styleId="WW8Num17z0">
    <w:name w:val="WW8Num17z0"/>
    <w:qFormat/>
    <w:rPr>
      <w:b/>
      <w:i w:val="false"/>
      <w:u w:val="none"/>
    </w:rPr>
  </w:style>
  <w:style w:type="character" w:styleId="WW8Num17z5">
    <w:name w:val="WW8Num17z5"/>
    <w:qFormat/>
    <w:rPr>
      <w:b/>
      <w:i w:val="false"/>
    </w:rPr>
  </w:style>
  <w:style w:type="character" w:styleId="WW8Num18z0">
    <w:name w:val="WW8Num18z0"/>
    <w:qFormat/>
    <w:rPr>
      <w:b/>
      <w:i w:val="false"/>
      <w:u w:val="none"/>
    </w:rPr>
  </w:style>
  <w:style w:type="character" w:styleId="WW8Num18z5">
    <w:name w:val="WW8Num18z5"/>
    <w:qFormat/>
    <w:rPr>
      <w:b/>
      <w:i w:val="false"/>
    </w:rPr>
  </w:style>
  <w:style w:type="character" w:styleId="WW8Num19z0">
    <w:name w:val="WW8Num19z0"/>
    <w:qFormat/>
    <w:rPr/>
  </w:style>
  <w:style w:type="character" w:styleId="WW8Num20z0">
    <w:name w:val="WW8Num20z0"/>
    <w:qFormat/>
    <w:rPr>
      <w:b/>
      <w:i w:val="false"/>
      <w:u w:val="none"/>
    </w:rPr>
  </w:style>
  <w:style w:type="character" w:styleId="WW8Num20z5">
    <w:name w:val="WW8Num20z5"/>
    <w:qFormat/>
    <w:rPr>
      <w:b/>
      <w:i w:val="false"/>
    </w:rPr>
  </w:style>
  <w:style w:type="character" w:styleId="WW8Num21z0">
    <w:name w:val="WW8Num21z0"/>
    <w:qFormat/>
    <w:rPr>
      <w:b/>
      <w:i w:val="false"/>
    </w:rPr>
  </w:style>
  <w:style w:type="character" w:styleId="WW8Num21z1">
    <w:name w:val="WW8Num21z1"/>
    <w:qFormat/>
    <w:rPr>
      <w:b/>
    </w:rPr>
  </w:style>
  <w:style w:type="character" w:styleId="WW8Num22z0">
    <w:name w:val="WW8Num22z0"/>
    <w:qFormat/>
    <w:rPr>
      <w:b/>
      <w:i w:val="false"/>
      <w:u w:val="none"/>
    </w:rPr>
  </w:style>
  <w:style w:type="character" w:styleId="WW8Num22z5">
    <w:name w:val="WW8Num22z5"/>
    <w:qFormat/>
    <w:rPr>
      <w:b/>
      <w:i w:val="false"/>
    </w:rPr>
  </w:style>
  <w:style w:type="character" w:styleId="WW8Num23z0">
    <w:name w:val="WW8Num23z0"/>
    <w:qFormat/>
    <w:rPr>
      <w:b/>
      <w:i w:val="false"/>
      <w:u w:val="none"/>
    </w:rPr>
  </w:style>
  <w:style w:type="character" w:styleId="WW8Num23z5">
    <w:name w:val="WW8Num23z5"/>
    <w:qFormat/>
    <w:rPr>
      <w:b/>
      <w:i w:val="false"/>
    </w:rPr>
  </w:style>
  <w:style w:type="character" w:styleId="WW8Num24z0">
    <w:name w:val="WW8Num24z0"/>
    <w:qFormat/>
    <w:rPr/>
  </w:style>
  <w:style w:type="character" w:styleId="WW8Num25z0">
    <w:name w:val="WW8Num25z0"/>
    <w:qFormat/>
    <w:rPr>
      <w:b/>
      <w:i w:val="false"/>
    </w:rPr>
  </w:style>
  <w:style w:type="character" w:styleId="WW8Num25z1">
    <w:name w:val="WW8Num25z1"/>
    <w:qFormat/>
    <w:rPr>
      <w:b/>
    </w:rPr>
  </w:style>
  <w:style w:type="character" w:styleId="WW8Num25z2">
    <w:name w:val="WW8Num25z2"/>
    <w:qFormat/>
    <w:rPr/>
  </w:style>
  <w:style w:type="character" w:styleId="WW8Num26z0">
    <w:name w:val="WW8Num26z0"/>
    <w:qFormat/>
    <w:rPr/>
  </w:style>
  <w:style w:type="character" w:styleId="WW8Num27z0">
    <w:name w:val="WW8Num27z0"/>
    <w:qFormat/>
    <w:rPr>
      <w:b/>
      <w:i w:val="false"/>
      <w:u w:val="none"/>
    </w:rPr>
  </w:style>
  <w:style w:type="character" w:styleId="WW8Num27z5">
    <w:name w:val="WW8Num27z5"/>
    <w:qFormat/>
    <w:rPr>
      <w:b/>
      <w:i w:val="false"/>
    </w:rPr>
  </w:style>
  <w:style w:type="character" w:styleId="WW8Num28z0">
    <w:name w:val="WW8Num28z0"/>
    <w:qFormat/>
    <w:rPr>
      <w:b/>
      <w:i w:val="false"/>
      <w:u w:val="none"/>
    </w:rPr>
  </w:style>
  <w:style w:type="character" w:styleId="WW8Num28z5">
    <w:name w:val="WW8Num28z5"/>
    <w:qFormat/>
    <w:rPr>
      <w:b/>
      <w:i w:val="false"/>
    </w:rPr>
  </w:style>
  <w:style w:type="character" w:styleId="WW8Num29z0">
    <w:name w:val="WW8Num29z0"/>
    <w:qFormat/>
    <w:rPr/>
  </w:style>
  <w:style w:type="character" w:styleId="WW8Num30z0">
    <w:name w:val="WW8Num30z0"/>
    <w:qFormat/>
    <w:rPr>
      <w:b/>
      <w:i w:val="false"/>
      <w:u w:val="none"/>
    </w:rPr>
  </w:style>
  <w:style w:type="character" w:styleId="WW8Num30z5">
    <w:name w:val="WW8Num30z5"/>
    <w:qFormat/>
    <w:rPr>
      <w:b/>
      <w:i w:val="false"/>
    </w:rPr>
  </w:style>
  <w:style w:type="character" w:styleId="WW8Num31z0">
    <w:name w:val="WW8Num31z0"/>
    <w:qFormat/>
    <w:rPr/>
  </w:style>
  <w:style w:type="character" w:styleId="WW8Num32z0">
    <w:name w:val="WW8Num32z0"/>
    <w:qFormat/>
    <w:rPr>
      <w:b/>
      <w:i w:val="false"/>
      <w:u w:val="none"/>
    </w:rPr>
  </w:style>
  <w:style w:type="character" w:styleId="WW8Num32z5">
    <w:name w:val="WW8Num32z5"/>
    <w:qFormat/>
    <w:rPr>
      <w:b/>
      <w:i w:val="false"/>
    </w:rPr>
  </w:style>
  <w:style w:type="character" w:styleId="WW8Num33z0">
    <w:name w:val="WW8Num33z0"/>
    <w:qFormat/>
    <w:rPr>
      <w:rFonts w:ascii="Times New Roman" w:hAnsi="Times New Roman" w:cs="Times New Roman"/>
      <w:b/>
      <w:i w:val="false"/>
      <w:sz w:val="24"/>
    </w:rPr>
  </w:style>
  <w:style w:type="character" w:styleId="WW8Num33z1">
    <w:name w:val="WW8Num33z1"/>
    <w:qFormat/>
    <w:rPr>
      <w:b/>
    </w:rPr>
  </w:style>
  <w:style w:type="character" w:styleId="WW8Num33z2">
    <w:name w:val="WW8Num33z2"/>
    <w:qFormat/>
    <w:rPr/>
  </w:style>
  <w:style w:type="character" w:styleId="WW8Num34z0">
    <w:name w:val="WW8Num34z0"/>
    <w:qFormat/>
    <w:rPr>
      <w:b/>
      <w:i w:val="false"/>
      <w:u w:val="none"/>
    </w:rPr>
  </w:style>
  <w:style w:type="character" w:styleId="WW8Num34z5">
    <w:name w:val="WW8Num34z5"/>
    <w:qFormat/>
    <w:rPr>
      <w:b/>
      <w:i w:val="false"/>
    </w:rPr>
  </w:style>
  <w:style w:type="character" w:styleId="WW8Num35z0">
    <w:name w:val="WW8Num35z0"/>
    <w:qFormat/>
    <w:rPr>
      <w:rFonts w:ascii="Times New Roman" w:hAnsi="Times New Roman" w:cs="Times New Roman"/>
      <w:b w:val="false"/>
      <w:i w:val="false"/>
      <w:sz w:val="24"/>
    </w:rPr>
  </w:style>
  <w:style w:type="character" w:styleId="WW8Num35z1">
    <w:name w:val="WW8Num35z1"/>
    <w:qFormat/>
    <w:rPr>
      <w:rFonts w:ascii="Times New Roman" w:hAnsi="Times New Roman" w:cs="Times New Roman"/>
      <w:sz w:val="24"/>
    </w:rPr>
  </w:style>
  <w:style w:type="character" w:styleId="WW8Num36z0">
    <w:name w:val="WW8Num36z0"/>
    <w:qFormat/>
    <w:rPr/>
  </w:style>
  <w:style w:type="character" w:styleId="WW8Num37z3">
    <w:name w:val="WW8Num37z3"/>
    <w:qFormat/>
    <w:rPr>
      <w:b/>
      <w:i w:val="false"/>
    </w:rPr>
  </w:style>
  <w:style w:type="character" w:styleId="WW8Num38z0">
    <w:name w:val="WW8Num38z0"/>
    <w:qFormat/>
    <w:rPr>
      <w:b w:val="false"/>
      <w:i w:val="false"/>
      <w:sz w:val="24"/>
    </w:rPr>
  </w:style>
  <w:style w:type="character" w:styleId="WW8Num39z0">
    <w:name w:val="WW8Num39z0"/>
    <w:qFormat/>
    <w:rPr/>
  </w:style>
  <w:style w:type="character" w:styleId="WW8Num40z0">
    <w:name w:val="WW8Num40z0"/>
    <w:qFormat/>
    <w:rPr>
      <w:b/>
      <w:i w:val="false"/>
      <w:u w:val="none"/>
    </w:rPr>
  </w:style>
  <w:style w:type="character" w:styleId="WW8Num40z5">
    <w:name w:val="WW8Num40z5"/>
    <w:qFormat/>
    <w:rPr>
      <w:b/>
      <w:i w:val="false"/>
    </w:rPr>
  </w:style>
  <w:style w:type="character" w:styleId="WW8NumSt28z0">
    <w:name w:val="WW8NumSt28z0"/>
    <w:qFormat/>
    <w:rPr>
      <w:b/>
      <w:i w:val="false"/>
    </w:rPr>
  </w:style>
  <w:style w:type="character" w:styleId="WW8NumSt28z1">
    <w:name w:val="WW8NumSt28z1"/>
    <w:qFormat/>
    <w:rPr>
      <w:b/>
    </w:rPr>
  </w:style>
  <w:style w:type="character" w:styleId="WW8NumSt28z2">
    <w:name w:val="WW8NumSt28z2"/>
    <w:qFormat/>
    <w:rPr/>
  </w:style>
  <w:style w:type="character" w:styleId="WW8NumSt29z0">
    <w:name w:val="WW8NumSt29z0"/>
    <w:qFormat/>
    <w:rPr>
      <w:rFonts w:ascii="Times New Roman" w:hAnsi="Times New Roman" w:cs="Times New Roman"/>
      <w:b/>
      <w:i w:val="false"/>
      <w:sz w:val="26"/>
      <w:u w:val="none"/>
    </w:rPr>
  </w:style>
  <w:style w:type="character" w:styleId="WW8NumSt29z5">
    <w:name w:val="WW8NumSt29z5"/>
    <w:qFormat/>
    <w:rPr>
      <w:rFonts w:ascii="Times New Roman" w:hAnsi="Times New Roman" w:cs="Times New Roman"/>
      <w:u w:val="none"/>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character" w:styleId="Party">
    <w:name w:val="Party"/>
    <w:basedOn w:val="DefaultParagraphFont"/>
    <w:qFormat/>
    <w:rPr/>
  </w:style>
  <w:style w:type="character" w:styleId="LineNumber">
    <w:name w:val="line number"/>
    <w:basedOn w:val="DefaultParagraphFont"/>
    <w:rPr/>
  </w:style>
  <w:style w:type="character" w:styleId="CaseNo">
    <w:name w:val="Case No."/>
    <w:basedOn w:val="DefaultParagraphFont"/>
    <w:qFormat/>
    <w:rPr/>
  </w:style>
  <w:style w:type="character" w:styleId="DocumentTitle">
    <w:name w:val="Document Title"/>
    <w:basedOn w:val="DefaultParagraphFont"/>
    <w:qFormat/>
    <w:rPr/>
  </w:style>
  <w:style w:type="character" w:styleId="PartyDesignation">
    <w:name w:val="Party Designation"/>
    <w:basedOn w:val="DefaultParagraph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BodyText2"/>
    <w:pPr>
      <w:spacing w:lineRule="exact" w:line="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BodyText"/>
    <w:pPr/>
    <w:rPr/>
  </w:style>
  <w:style w:type="paragraph" w:styleId="TOC1">
    <w:name w:val="toc 1"/>
    <w:basedOn w:val="BodyText"/>
    <w:next w:val="Normal"/>
    <w:pPr>
      <w:tabs>
        <w:tab w:val="left" w:pos="720" w:leader="none"/>
        <w:tab w:val="right" w:pos="9710" w:leader="dot"/>
      </w:tabs>
      <w:spacing w:before="235" w:after="0"/>
      <w:ind w:hanging="720" w:start="720" w:end="1440"/>
    </w:pPr>
    <w:rPr>
      <w:lang w:val="en-CA" w:eastAsia="en-CA"/>
    </w:rPr>
  </w:style>
  <w:style w:type="paragraph" w:styleId="TOC2">
    <w:name w:val="toc 2"/>
    <w:basedOn w:val="TOC1"/>
    <w:pPr>
      <w:ind w:hanging="720" w:start="1440" w:end="1440"/>
    </w:pPr>
    <w:rPr/>
  </w:style>
  <w:style w:type="paragraph" w:styleId="TOC3">
    <w:name w:val="toc 3"/>
    <w:basedOn w:val="TOC1"/>
    <w:pPr>
      <w:tabs>
        <w:tab w:val="left" w:pos="720" w:leader="none"/>
        <w:tab w:val="left" w:pos="1440" w:leader="none"/>
        <w:tab w:val="right" w:pos="9710" w:leader="dot"/>
      </w:tabs>
      <w:ind w:hanging="720" w:start="2160" w:end="1440"/>
    </w:pPr>
    <w:rPr/>
  </w:style>
  <w:style w:type="paragraph" w:styleId="TOC4">
    <w:name w:val="toc 4"/>
    <w:basedOn w:val="TOC1"/>
    <w:pPr>
      <w:tabs>
        <w:tab w:val="left" w:pos="720" w:leader="none"/>
        <w:tab w:val="left" w:pos="1440" w:leader="none"/>
        <w:tab w:val="right" w:pos="9710" w:leader="dot"/>
      </w:tabs>
      <w:ind w:hanging="720" w:start="2880" w:end="1440"/>
    </w:pPr>
    <w:rPr/>
  </w:style>
  <w:style w:type="paragraph" w:styleId="TOC5">
    <w:name w:val="toc 5"/>
    <w:basedOn w:val="TOC1"/>
    <w:pPr>
      <w:tabs>
        <w:tab w:val="left" w:pos="720" w:leader="none"/>
        <w:tab w:val="left" w:pos="1440" w:leader="none"/>
        <w:tab w:val="right" w:pos="9710" w:leader="dot"/>
      </w:tabs>
      <w:ind w:hanging="720" w:start="3600" w:end="1440"/>
    </w:pPr>
    <w:rPr/>
  </w:style>
  <w:style w:type="paragraph" w:styleId="TOC6">
    <w:name w:val="toc 6"/>
    <w:basedOn w:val="Normal"/>
    <w:next w:val="Normal"/>
    <w:pPr>
      <w:ind w:hanging="0" w:start="900" w:end="0"/>
    </w:pPr>
    <w:rPr/>
  </w:style>
  <w:style w:type="paragraph" w:styleId="TOC7">
    <w:name w:val="toc 7"/>
    <w:basedOn w:val="Normal"/>
    <w:next w:val="Normal"/>
    <w:pPr>
      <w:ind w:hanging="0" w:start="1080" w:end="0"/>
    </w:pPr>
    <w:rPr/>
  </w:style>
  <w:style w:type="paragraph" w:styleId="TOC8">
    <w:name w:val="toc 8"/>
    <w:basedOn w:val="Normal"/>
    <w:next w:val="Normal"/>
    <w:pPr>
      <w:ind w:hanging="0" w:start="1260" w:end="0"/>
    </w:pPr>
    <w:rPr/>
  </w:style>
  <w:style w:type="paragraph" w:styleId="TOC9">
    <w:name w:val="toc 9"/>
    <w:basedOn w:val="Normal"/>
    <w:next w:val="Normal"/>
    <w:pPr>
      <w:ind w:hanging="0" w:start="1440" w:end="0"/>
    </w:pPr>
    <w:rPr/>
  </w:style>
  <w:style w:type="paragraph" w:styleId="TOAHeading">
    <w:name w:val="TOA Heading"/>
    <w:basedOn w:val="Normal"/>
    <w:next w:val="TableofAuthorities"/>
    <w:qFormat/>
    <w:pPr>
      <w:widowControl w:val="false"/>
      <w:spacing w:lineRule="exact" w:line="235" w:before="0" w:after="235"/>
    </w:pPr>
    <w:rPr>
      <w:u w:val="single"/>
    </w:rPr>
  </w:style>
  <w:style w:type="paragraph" w:styleId="TableofAuthorities">
    <w:name w:val="Table of Authorities"/>
    <w:basedOn w:val="BodyText"/>
    <w:qFormat/>
    <w:pPr>
      <w:spacing w:before="0" w:after="235"/>
      <w:ind w:hanging="360" w:start="720" w:end="1440"/>
      <w:jc w:val="start"/>
    </w:pPr>
    <w:rPr/>
  </w:style>
  <w:style w:type="paragraph" w:styleId="Discovery1">
    <w:name w:val="Discovery1"/>
    <w:basedOn w:val="Normal"/>
    <w:next w:val="BodyText2"/>
    <w:qFormat/>
    <w:pPr>
      <w:keepNext w:val="true"/>
      <w:numPr>
        <w:ilvl w:val="0"/>
        <w:numId w:val="3"/>
      </w:numPr>
    </w:pPr>
    <w:rPr>
      <w:b/>
    </w:rPr>
  </w:style>
  <w:style w:type="paragraph" w:styleId="Discovery2">
    <w:name w:val="Discovery2"/>
    <w:basedOn w:val="Normal"/>
    <w:next w:val="BodyText2"/>
    <w:qFormat/>
    <w:pPr>
      <w:keepNext w:val="true"/>
      <w:numPr>
        <w:ilvl w:val="0"/>
        <w:numId w:val="3"/>
      </w:numPr>
    </w:pPr>
    <w:rPr>
      <w:b/>
    </w:rPr>
  </w:style>
  <w:style w:type="paragraph" w:styleId="FootnoteText">
    <w:name w:val="footnote text"/>
    <w:basedOn w:val="BodyText"/>
    <w:pPr>
      <w:ind w:hanging="360" w:start="360" w:end="0"/>
    </w:pPr>
    <w:rPr/>
  </w:style>
  <w:style w:type="paragraph" w:styleId="BodyTextIndent">
    <w:name w:val="Body Text Indent"/>
    <w:basedOn w:val="Normal"/>
    <w:pPr>
      <w:widowControl/>
      <w:spacing w:lineRule="exact" w:line="235"/>
      <w:ind w:hanging="0" w:start="1440" w:end="0"/>
      <w:jc w:val="both"/>
    </w:pPr>
    <w:rPr/>
  </w:style>
  <w:style w:type="paragraph" w:styleId="Court">
    <w:name w:val="Court"/>
    <w:basedOn w:val="Normal"/>
    <w:next w:val="Venue"/>
    <w:qFormat/>
    <w:pPr>
      <w:jc w:val="center"/>
    </w:pPr>
    <w:rPr>
      <w:caps/>
    </w:rPr>
  </w:style>
  <w:style w:type="paragraph" w:styleId="Venue">
    <w:name w:val="Venue"/>
    <w:basedOn w:val="Court"/>
    <w:qFormat/>
    <w:pPr/>
    <w:rPr/>
  </w:style>
  <w:style w:type="paragraph" w:styleId="BodyTextIndent2">
    <w:name w:val="Body Text Indent 2"/>
    <w:basedOn w:val="Normal"/>
    <w:qFormat/>
    <w:pPr>
      <w:spacing w:lineRule="auto" w:line="480" w:before="0" w:after="120"/>
      <w:ind w:hanging="0" w:start="360" w:end="0"/>
    </w:pPr>
    <w:rPr/>
  </w:style>
  <w:style w:type="paragraph" w:styleId="CaptionDivider">
    <w:name w:val="Caption Divider"/>
    <w:basedOn w:val="Normal"/>
    <w:next w:val="BodyText"/>
    <w:qFormat/>
    <w:pPr>
      <w:pBdr>
        <w:bottom w:val="single" w:sz="4" w:space="0" w:color="000000"/>
      </w:pBdr>
      <w:spacing w:lineRule="exact" w:line="240"/>
    </w:pPr>
    <w:rPr/>
  </w:style>
  <w:style w:type="paragraph" w:styleId="BlockText">
    <w:name w:val="Block Text"/>
    <w:basedOn w:val="Normal"/>
    <w:qFormat/>
    <w:pPr>
      <w:spacing w:before="0" w:after="120"/>
      <w:ind w:hanging="0" w:start="1440" w:end="1440"/>
    </w:pPr>
    <w:rPr/>
  </w:style>
  <w:style w:type="paragraph" w:styleId="SignatureBlock1">
    <w:name w:val="Signature Block 1"/>
    <w:basedOn w:val="BodyText"/>
    <w:next w:val="SignatureBlock2"/>
    <w:qFormat/>
    <w:pPr>
      <w:ind w:hanging="5040" w:start="5040" w:end="0"/>
    </w:pPr>
    <w:rPr/>
  </w:style>
  <w:style w:type="paragraph" w:styleId="SignatureBlock2">
    <w:name w:val="Signature Block 2"/>
    <w:basedOn w:val="BodyText"/>
    <w:next w:val="SignatureBlock3"/>
    <w:qFormat/>
    <w:pPr>
      <w:tabs>
        <w:tab w:val="clear" w:pos="720"/>
        <w:tab w:val="right" w:pos="9893" w:leader="underscore"/>
      </w:tabs>
      <w:spacing w:before="960" w:after="0"/>
      <w:ind w:hanging="0" w:start="5040" w:end="0"/>
    </w:pPr>
    <w:rPr/>
  </w:style>
  <w:style w:type="paragraph" w:styleId="SignatureBlock3">
    <w:name w:val="Signature Block 3"/>
    <w:basedOn w:val="BodyText"/>
    <w:qFormat/>
    <w:pPr>
      <w:ind w:hanging="0" w:start="5760" w:end="0"/>
    </w:pPr>
    <w:rPr/>
  </w:style>
  <w:style w:type="paragraph" w:styleId="ListNumber">
    <w:name w:val="List Number"/>
    <w:basedOn w:val="Normal"/>
    <w:qFormat/>
    <w:pPr>
      <w:numPr>
        <w:ilvl w:val="0"/>
        <w:numId w:val="2"/>
      </w:numPr>
    </w:pPr>
    <w:rPr/>
  </w:style>
  <w:style w:type="paragraph" w:styleId="ListNumber2">
    <w:name w:val="List Number 2"/>
    <w:basedOn w:val="Normal"/>
    <w:qFormat/>
    <w:pPr>
      <w:numPr>
        <w:ilvl w:val="0"/>
        <w:numId w:val="2"/>
      </w:numPr>
    </w:pPr>
    <w:rPr/>
  </w:style>
  <w:style w:type="paragraph" w:styleId="ListNumber3">
    <w:name w:val="List Number 3"/>
    <w:basedOn w:val="Normal"/>
    <w:qFormat/>
    <w:pPr>
      <w:numPr>
        <w:ilvl w:val="0"/>
        <w:numId w:val="2"/>
      </w:numPr>
    </w:pPr>
    <w:rPr/>
  </w:style>
  <w:style w:type="paragraph" w:styleId="LineNumbering">
    <w:name w:val="Line Numbering"/>
    <w:basedOn w:val="Normal"/>
    <w:qFormat/>
    <w:pPr>
      <w:jc w:val="end"/>
    </w:pPr>
    <w:rPr/>
  </w:style>
  <w:style w:type="paragraph" w:styleId="BodyText3">
    <w:name w:val="Body Text 3"/>
    <w:basedOn w:val="Normal"/>
    <w:qFormat/>
    <w:pPr>
      <w:spacing w:lineRule="auto" w:line="240"/>
      <w:jc w:val="center"/>
    </w:pPr>
    <w:rPr>
      <w:rFonts w:ascii="Times New Roman" w:hAnsi="Times New Roman" w:cs="Times New Roman"/>
      <w:caps/>
      <w:sz w:val="10"/>
    </w:rPr>
  </w:style>
  <w:style w:type="paragraph" w:styleId="TOATitle">
    <w:name w:val="TOA Title"/>
    <w:basedOn w:val="BodyText2"/>
    <w:next w:val="BodyText2"/>
    <w:qFormat/>
    <w:pPr>
      <w:jc w:val="center"/>
    </w:pPr>
    <w:rPr>
      <w:b/>
    </w:rPr>
  </w:style>
  <w:style w:type="paragraph" w:styleId="TOCTitle">
    <w:name w:val="TOC Title"/>
    <w:basedOn w:val="BodyText2"/>
    <w:next w:val="BodyText2"/>
    <w:qFormat/>
    <w:pPr>
      <w:spacing w:lineRule="exact" w:line="235"/>
      <w:ind w:hanging="0" w:start="0" w:end="0"/>
      <w:jc w:val="center"/>
    </w:pPr>
    <w:rPr>
      <w:b/>
    </w:rPr>
  </w:style>
  <w:style w:type="paragraph" w:styleId="AbbreviatedTitle">
    <w:name w:val="Abbreviated Title"/>
    <w:basedOn w:val="Footer"/>
    <w:qFormat/>
    <w:pPr>
      <w:pBdr>
        <w:top w:val="single" w:sz="8" w:space="1" w:color="000000"/>
      </w:pBdr>
      <w:jc w:val="center"/>
    </w:pPr>
    <w:rPr>
      <w:sz w:val="18"/>
    </w:rPr>
  </w:style>
  <w:style w:type="paragraph" w:styleId="FileNumber">
    <w:name w:val="File Number"/>
    <w:qFormat/>
    <w:pPr>
      <w:widowControl/>
      <w:bidi w:val="0"/>
    </w:pPr>
    <w:rPr>
      <w:rFonts w:ascii="Arial" w:hAnsi="Arial" w:eastAsia="Times New Roman" w:cs="Arial"/>
      <w:color w:val="auto"/>
      <w:sz w:val="12"/>
      <w:szCs w:val="20"/>
      <w:lang w:val="en-US" w:eastAsia="en-CA" w:bidi="ar-SA"/>
    </w:rPr>
  </w:style>
  <w:style w:type="paragraph" w:styleId="SmallFirmInfo2">
    <w:name w:val="SmallFirmInfo2"/>
    <w:basedOn w:val="Normal"/>
    <w:qFormat/>
    <w:pPr>
      <w:spacing w:lineRule="auto" w:line="240"/>
      <w:jc w:val="center"/>
    </w:pPr>
    <w:rPr>
      <w:rFonts w:ascii="EngraversGothic BT" w:hAnsi="EngraversGothic BT" w:cs="EngraversGothic BT"/>
      <w:caps/>
      <w:spacing w:val="10"/>
      <w:sz w:val="12"/>
    </w:rPr>
  </w:style>
  <w:style w:type="paragraph" w:styleId="SmallFirmInfo1">
    <w:name w:val="SmallFirmInfo1"/>
    <w:basedOn w:val="Normal"/>
    <w:qFormat/>
    <w:pPr>
      <w:spacing w:lineRule="auto" w:line="240"/>
      <w:jc w:val="center"/>
    </w:pPr>
    <w:rPr>
      <w:rFonts w:ascii="BernhardMod BT" w:hAnsi="BernhardMod BT" w:cs="BernhardMod BT"/>
      <w:b/>
      <w:smallCaps/>
      <w:spacing w:val="40"/>
      <w:sz w:val="20"/>
    </w:rPr>
  </w:style>
  <w:style w:type="paragraph" w:styleId="BodyTextIndent3">
    <w:name w:val="Body Text Indent 3"/>
    <w:basedOn w:val="Normal"/>
    <w:qFormat/>
    <w:pPr>
      <w:widowControl/>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2001-03-23T19:22:00Z</dcterms:created>
  <dc:creator>VEH</dc:creator>
  <dc:description/>
  <dc:language>en-CA</dc:language>
  <cp:lastModifiedBy>Edith L. Estrada</cp:lastModifiedBy>
  <cp:lastPrinted>2001-02-26T14:46:00Z</cp:lastPrinted>
  <dcterms:modified xsi:type="dcterms:W3CDTF">2001-03-23T19:22:00Z</dcterms:modified>
  <cp:revision>2</cp:revision>
  <dc:subject/>
  <dc:title>Pleading Caption</dc:title>
</cp:coreProperties>
</file>