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Times New Roman" w:hAnsi="Times New Roman" w:cs="Times New Roman"/>
          <w:caps/>
        </w:rPr>
      </w:pPr>
      <w:r>
        <w:rPr>
          <w:rFonts w:cs="Times New Roman" w:ascii="Times New Roman" w:hAnsi="Times New Roman"/>
          <w:caps/>
        </w:rPr>
        <w:t>WHITWELL &amp; EMHOFF LLP</w:t>
      </w:r>
    </w:p>
    <w:p>
      <w:pPr>
        <w:pStyle w:val="BodyText"/>
        <w:rPr>
          <w:rFonts w:ascii="Times New Roman" w:hAnsi="Times New Roman" w:cs="Times New Roman"/>
        </w:rPr>
      </w:pPr>
      <w:r>
        <w:rPr>
          <w:rFonts w:cs="Times New Roman" w:ascii="Times New Roman" w:hAnsi="Times New Roman"/>
        </w:rPr>
        <w:t>BEN D. WHITWELL (Cal. Bar No. 138426)</w:t>
      </w:r>
    </w:p>
    <w:p>
      <w:pPr>
        <w:pStyle w:val="BodyText"/>
        <w:rPr>
          <w:rFonts w:ascii="Times New Roman" w:hAnsi="Times New Roman" w:cs="Times New Roman"/>
          <w:caps/>
        </w:rPr>
      </w:pPr>
      <w:r>
        <w:rPr>
          <w:rFonts w:cs="Times New Roman" w:ascii="Times New Roman" w:hAnsi="Times New Roman"/>
        </w:rPr>
        <w:t>JEFFREY M. TANZER (Cal. Bar No. 129437)</w:t>
      </w:r>
    </w:p>
    <w:p>
      <w:pPr>
        <w:pStyle w:val="BodyText"/>
        <w:rPr>
          <w:rFonts w:ascii="Times New Roman" w:hAnsi="Times New Roman" w:cs="Times New Roman"/>
        </w:rPr>
      </w:pPr>
      <w:r>
        <w:rPr>
          <w:rFonts w:cs="Times New Roman" w:ascii="Times New Roman" w:hAnsi="Times New Roman"/>
        </w:rPr>
        <w:t>202 N. Canon Drive</w:t>
      </w:r>
    </w:p>
    <w:p>
      <w:pPr>
        <w:pStyle w:val="BodyText"/>
        <w:rPr>
          <w:rFonts w:ascii="Times New Roman" w:hAnsi="Times New Roman" w:cs="Times New Roman"/>
        </w:rPr>
      </w:pPr>
      <w:r>
        <w:rPr>
          <w:rFonts w:cs="Times New Roman" w:ascii="Times New Roman" w:hAnsi="Times New Roman"/>
        </w:rPr>
        <w:t>Beverly Hills, CA  90210</w:t>
      </w:r>
    </w:p>
    <w:p>
      <w:pPr>
        <w:pStyle w:val="BodyText"/>
        <w:rPr>
          <w:rFonts w:ascii="Times New Roman" w:hAnsi="Times New Roman" w:cs="Times New Roman"/>
        </w:rPr>
      </w:pPr>
      <w:r>
        <w:rPr>
          <w:rFonts w:cs="Times New Roman" w:ascii="Times New Roman" w:hAnsi="Times New Roman"/>
        </w:rPr>
        <w:t>Telephone:  310/887-4420</w:t>
      </w:r>
    </w:p>
    <w:p>
      <w:pPr>
        <w:pStyle w:val="BodyText"/>
        <w:rPr>
          <w:rFonts w:ascii="Times New Roman" w:hAnsi="Times New Roman" w:cs="Times New Roman"/>
        </w:rPr>
      </w:pPr>
      <w:r>
        <w:rPr>
          <w:rFonts w:cs="Times New Roman" w:ascii="Times New Roman" w:hAnsi="Times New Roman"/>
        </w:rPr>
        <w:t>Facsimile:   310/274-9910</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Attorneys for Plaintiff</w:t>
      </w:r>
    </w:p>
    <w:p>
      <w:pPr>
        <w:pStyle w:val="BodyText"/>
        <w:rPr>
          <w:rFonts w:ascii="Times New Roman" w:hAnsi="Times New Roman" w:cs="Times New Roman"/>
        </w:rPr>
      </w:pPr>
      <w:r>
        <w:rPr>
          <w:rStyle w:val="Party"/>
          <w:rFonts w:cs="Times New Roman" w:ascii="Times New Roman" w:hAnsi="Times New Roman"/>
        </w:rPr>
        <w:t>California Power Exchange Corporation</w:t>
      </w:r>
    </w:p>
    <w:p>
      <w:pPr>
        <w:pStyle w:val="BodyText"/>
        <w:rPr>
          <w:rStyle w:val="Party"/>
          <w:rFonts w:ascii="Times New Roman" w:hAnsi="Times New Roman" w:cs="Times New Roman"/>
        </w:rPr>
      </w:pPr>
      <w:r>
        <w:rPr>
          <w:rFonts w:cs="Times New Roman" w:ascii="Times New Roman" w:hAnsi="Times New Roman"/>
        </w:rPr>
      </w:r>
    </w:p>
    <w:p>
      <w:pPr>
        <w:pStyle w:val="BodyText"/>
        <w:rPr>
          <w:rStyle w:val="Party"/>
          <w:rFonts w:ascii="Times New Roman" w:hAnsi="Times New Roman" w:cs="Times New Roman"/>
        </w:rPr>
      </w:pPr>
      <w:r>
        <w:rPr/>
      </w:r>
    </w:p>
    <w:p>
      <w:pPr>
        <w:pStyle w:val="BodyText"/>
        <w:rPr>
          <w:rFonts w:ascii="Times New Roman" w:hAnsi="Times New Roman" w:cs="Times New Roman"/>
        </w:rPr>
      </w:pPr>
      <w:r>
        <w:rPr>
          <w:rFonts w:cs="Times New Roman" w:ascii="Times New Roman" w:hAnsi="Times New Roman"/>
        </w:rPr>
      </w:r>
    </w:p>
    <w:p>
      <w:pPr>
        <w:pStyle w:val="Court"/>
        <w:rPr>
          <w:rFonts w:ascii="Times New Roman" w:hAnsi="Times New Roman" w:cs="Times New Roman"/>
          <w:b/>
          <w:bCs/>
        </w:rPr>
      </w:pPr>
      <w:r>
        <w:rPr>
          <w:rFonts w:cs="Times New Roman" w:ascii="Times New Roman" w:hAnsi="Times New Roman"/>
          <w:b/>
          <w:bCs/>
        </w:rPr>
        <w:t>United States District Court</w:t>
      </w:r>
    </w:p>
    <w:p>
      <w:pPr>
        <w:pStyle w:val="Venue"/>
        <w:rPr>
          <w:rFonts w:ascii="Times New Roman" w:hAnsi="Times New Roman" w:cs="Times New Roman"/>
          <w:b/>
          <w:bCs/>
        </w:rPr>
      </w:pPr>
      <w:r>
        <w:rPr>
          <w:rFonts w:cs="Times New Roman" w:ascii="Times New Roman" w:hAnsi="Times New Roman"/>
          <w:b/>
          <w:bCs/>
        </w:rPr>
        <w:t>Central District of California</w:t>
      </w:r>
    </w:p>
    <w:p>
      <w:pPr>
        <w:pStyle w:val="Venue"/>
        <w:rPr>
          <w:rFonts w:ascii="Times New Roman" w:hAnsi="Times New Roman" w:cs="Times New Roman"/>
          <w:b/>
          <w:bCs/>
        </w:rPr>
      </w:pPr>
      <w:r>
        <w:rPr>
          <w:rFonts w:cs="Times New Roman" w:ascii="Times New Roman" w:hAnsi="Times New Roman"/>
          <w:b/>
          <w:bCs/>
        </w:rPr>
      </w:r>
    </w:p>
    <w:tbl>
      <w:tblPr>
        <w:tblW w:w="9736" w:type="dxa"/>
        <w:jc w:val="start"/>
        <w:tblInd w:w="-24" w:type="dxa"/>
        <w:tblLayout w:type="fixed"/>
        <w:tblCellMar>
          <w:top w:w="0" w:type="dxa"/>
          <w:start w:w="0" w:type="dxa"/>
          <w:bottom w:w="0" w:type="dxa"/>
          <w:end w:w="0" w:type="dxa"/>
        </w:tblCellMar>
      </w:tblPr>
      <w:tblGrid>
        <w:gridCol w:w="5048"/>
        <w:gridCol w:w="4688"/>
      </w:tblGrid>
      <w:tr>
        <w:trPr/>
        <w:tc>
          <w:tcPr>
            <w:tcW w:w="5048" w:type="dxa"/>
            <w:tcBorders>
              <w:bottom w:val="single" w:sz="4" w:space="0" w:color="000000"/>
              <w:end w:val="single" w:sz="4" w:space="0" w:color="000000"/>
            </w:tcBorders>
          </w:tcPr>
          <w:p>
            <w:pPr>
              <w:pStyle w:val="BodyText"/>
              <w:rPr>
                <w:rFonts w:ascii="Times New Roman" w:hAnsi="Times New Roman" w:cs="Times New Roman"/>
              </w:rPr>
            </w:pPr>
            <w:r>
              <w:rPr>
                <w:rFonts w:cs="Times New Roman" w:ascii="Times New Roman" w:hAnsi="Times New Roman"/>
              </w:rPr>
              <w:t>CALIFORNIA POWER EXCHANGE CORPORATION, a California Corporation,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b/>
              <w:tab/>
              <w:tab/>
              <w:t>Plaintiff,</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v.</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CALIFORNIA INDEPENDENT SYSTEM OPERATOR CORPORATION, a California Corporation,</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ab/>
              <w:tab/>
              <w:tab/>
              <w:t>Defendant.</w:t>
            </w:r>
          </w:p>
          <w:p>
            <w:pPr>
              <w:pStyle w:val="BodyText"/>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c>
        <w:tc>
          <w:tcPr>
            <w:tcW w:w="4688" w:type="dxa"/>
            <w:tcBorders/>
          </w:tcPr>
          <w:p>
            <w:pPr>
              <w:pStyle w:val="BodyText"/>
              <w:ind w:start="180" w:end="0"/>
              <w:rPr>
                <w:rFonts w:ascii="Times New Roman" w:hAnsi="Times New Roman" w:cs="Times New Roman"/>
              </w:rPr>
            </w:pPr>
            <w:r>
              <w:rPr>
                <w:rFonts w:cs="Times New Roman" w:ascii="Times New Roman" w:hAnsi="Times New Roman"/>
              </w:rPr>
              <w:t xml:space="preserve">CASE NO:    </w:t>
            </w:r>
          </w:p>
          <w:p>
            <w:pPr>
              <w:pStyle w:val="BodyText"/>
              <w:ind w:start="180" w:end="0"/>
              <w:rPr>
                <w:rFonts w:ascii="Times New Roman" w:hAnsi="Times New Roman" w:cs="Times New Roman"/>
              </w:rPr>
            </w:pPr>
            <w:r>
              <w:rPr>
                <w:rFonts w:cs="Times New Roman" w:ascii="Times New Roman" w:hAnsi="Times New Roman"/>
              </w:rPr>
            </w:r>
          </w:p>
          <w:p>
            <w:pPr>
              <w:pStyle w:val="BodyText"/>
              <w:ind w:start="180" w:end="0"/>
              <w:rPr>
                <w:rFonts w:ascii="Times New Roman" w:hAnsi="Times New Roman" w:cs="Times New Roman"/>
              </w:rPr>
            </w:pPr>
            <w:r>
              <w:rPr>
                <w:rFonts w:cs="Times New Roman" w:ascii="Times New Roman" w:hAnsi="Times New Roman"/>
              </w:rPr>
            </w:r>
          </w:p>
          <w:p>
            <w:pPr>
              <w:pStyle w:val="BodyText"/>
              <w:ind w:start="180" w:end="0"/>
              <w:rPr>
                <w:rFonts w:ascii="Times New Roman" w:hAnsi="Times New Roman" w:cs="Times New Roman"/>
                <w:b/>
                <w:bCs/>
              </w:rPr>
            </w:pPr>
            <w:r>
              <w:rPr>
                <w:rFonts w:cs="Times New Roman" w:ascii="Times New Roman" w:hAnsi="Times New Roman"/>
                <w:b/>
                <w:bCs/>
              </w:rPr>
              <w:t>COMPLAINT FOR DECLARATORY AND INJUNCTIVE RELIEF</w:t>
            </w:r>
          </w:p>
          <w:p>
            <w:pPr>
              <w:pStyle w:val="BodyText"/>
              <w:ind w:start="180" w:end="0"/>
              <w:rPr>
                <w:rFonts w:ascii="Times New Roman" w:hAnsi="Times New Roman" w:cs="Times New Roman"/>
                <w:b/>
                <w:bCs/>
              </w:rPr>
            </w:pPr>
            <w:r>
              <w:rPr>
                <w:rFonts w:cs="Times New Roman" w:ascii="Times New Roman" w:hAnsi="Times New Roman"/>
                <w:b/>
                <w:bCs/>
              </w:rPr>
            </w:r>
          </w:p>
          <w:p>
            <w:pPr>
              <w:pStyle w:val="BodyText"/>
              <w:ind w:start="180" w:end="0"/>
              <w:rPr>
                <w:rFonts w:ascii="Times New Roman" w:hAnsi="Times New Roman" w:cs="Times New Roman"/>
                <w:b/>
                <w:bCs/>
              </w:rPr>
            </w:pPr>
            <w:r>
              <w:rPr>
                <w:rFonts w:cs="Times New Roman" w:ascii="Times New Roman" w:hAnsi="Times New Roman"/>
                <w:b/>
                <w:bCs/>
              </w:rPr>
            </w:r>
          </w:p>
          <w:p>
            <w:pPr>
              <w:pStyle w:val="BodyText"/>
              <w:ind w:start="180" w:end="0"/>
              <w:rPr>
                <w:rFonts w:ascii="Times New Roman" w:hAnsi="Times New Roman" w:cs="Times New Roman"/>
              </w:rPr>
            </w:pPr>
            <w:r>
              <w:rPr>
                <w:rFonts w:cs="Times New Roman" w:ascii="Times New Roman" w:hAnsi="Times New Roman"/>
              </w:rPr>
              <w:t xml:space="preserve"> </w:t>
            </w:r>
          </w:p>
        </w:tc>
      </w:tr>
    </w:tbl>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r>
    </w:p>
    <w:p>
      <w:pPr>
        <w:pStyle w:val="BodyText"/>
        <w:spacing w:lineRule="exact" w:line="480"/>
        <w:rPr>
          <w:rFonts w:ascii="Times New Roman" w:hAnsi="Times New Roman" w:cs="Times New Roman"/>
        </w:rPr>
      </w:pPr>
      <w:r>
        <w:rPr>
          <w:rFonts w:cs="Times New Roman" w:ascii="Times New Roman" w:hAnsi="Times New Roman"/>
        </w:rPr>
        <w:tab/>
        <w:t>Plaintiff CALIFORNIA POWER EXCHANGE CORPORATION alleges as follows:</w:t>
      </w:r>
    </w:p>
    <w:p>
      <w:pPr>
        <w:pStyle w:val="ListNumber"/>
        <w:numPr>
          <w:ilvl w:val="0"/>
          <w:numId w:val="0"/>
        </w:numPr>
        <w:ind w:hanging="0" w:start="0"/>
        <w:jc w:val="center"/>
        <w:rPr>
          <w:b/>
          <w:bCs/>
        </w:rPr>
      </w:pPr>
      <w:r>
        <w:rPr>
          <w:b/>
          <w:bCs/>
        </w:rPr>
        <w:t>JURISDICTION AND VENUE</w:t>
      </w:r>
    </w:p>
    <w:p>
      <w:pPr>
        <w:pStyle w:val="ListNumber"/>
        <w:numPr>
          <w:ilvl w:val="0"/>
          <w:numId w:val="3"/>
        </w:numPr>
        <w:ind w:hanging="0" w:start="0"/>
        <w:rPr/>
      </w:pPr>
      <w:r>
        <w:rPr/>
        <w:t xml:space="preserve">This Court has jurisdiction over this action pursuant to 28 U.S.C. § 1331 and 16 U.S.C. § 825p.  This is an action brought to enforce a liability or duty created by, or to enjoin a violation of, Tariffs filed with and approved by the Federal Energy Regulatory Commission (“FERC”).  </w:t>
      </w:r>
    </w:p>
    <w:p>
      <w:pPr>
        <w:pStyle w:val="ListNumber"/>
        <w:numPr>
          <w:ilvl w:val="0"/>
          <w:numId w:val="3"/>
        </w:numPr>
        <w:ind w:hanging="0" w:start="0"/>
        <w:rPr/>
      </w:pPr>
      <w:r>
        <w:rPr/>
        <w:t>Declaratory and injunctive relief are authorized by 28 U.S.C. §§ 2201 and 2202.</w:t>
      </w:r>
    </w:p>
    <w:p>
      <w:pPr>
        <w:pStyle w:val="ListNumber"/>
        <w:numPr>
          <w:ilvl w:val="0"/>
          <w:numId w:val="3"/>
        </w:numPr>
        <w:ind w:hanging="0" w:start="0"/>
        <w:rPr/>
      </w:pPr>
      <w:r>
        <w:rPr/>
        <w:t>Venue is proper in this district pursuant to Section 20.7 of the California Independent System Operator Corporation FERC Electric Tariff, First Replacement Volume No. 1 (“ISO Tariff”), which permits actions to be brought in any Federal Court in the State of California, and pursuant to 28 U.S.C. § 1391(b), because a substantial part of the events or omissions giving rise to the claims occurred in this District.</w:t>
      </w:r>
    </w:p>
    <w:p>
      <w:pPr>
        <w:pStyle w:val="ListNumber"/>
        <w:numPr>
          <w:ilvl w:val="0"/>
          <w:numId w:val="0"/>
        </w:numPr>
        <w:ind w:hanging="0" w:start="0"/>
        <w:jc w:val="center"/>
        <w:rPr>
          <w:b/>
          <w:bCs/>
        </w:rPr>
      </w:pPr>
      <w:r>
        <w:rPr>
          <w:b/>
          <w:bCs/>
        </w:rPr>
        <w:t>THE PARTIES</w:t>
      </w:r>
    </w:p>
    <w:p>
      <w:pPr>
        <w:pStyle w:val="ListNumber"/>
        <w:numPr>
          <w:ilvl w:val="0"/>
          <w:numId w:val="3"/>
        </w:numPr>
        <w:ind w:hanging="0" w:start="0"/>
        <w:rPr/>
      </w:pPr>
      <w:r>
        <w:rPr/>
        <w:t>Plaintiff California Power Exchange Corporation (“CalPX”) is a non-profit, public benefit corporation, with its principal place of business in Pasadena, California.  The CalPX was established by law in 1996 as part of the State’s restructuring of the electricity industry.  Prior to the suspension of its markets earlier this year, the CalPX operated an exchange for the wholesale purchase and sale of electricity in California.  The CalPX’s largest market, the Day-Ahead Market, was launched on March 31, 1998 for the purchase and sale of electricity for delivery the next day.  The CalPX also operated a Day-Of Market for delivery of electricity on the same day, and a Block Forward Market operated through the CalPX Trading Services (“CTS”) Division allowed participants to contract for monthly blocks of electricity up to a year or more in the future.  The CalPX is regulated by the Federal Energy Regulatory Commission (“FERC”) and its Core Market</w:t>
      </w:r>
      <w:r>
        <w:rPr>
          <w:rStyle w:val="FootnoteCharacters"/>
          <w:rStyle w:val="FootnoteReference"/>
        </w:rPr>
        <w:footnoteReference w:id="2"/>
      </w:r>
      <w:r>
        <w:rPr/>
        <w:t xml:space="preserve"> services are governed by the CalPX FERC Electric Service Tariff No. 2 (the “PX Tariff”).  At all relevant times herein, CalPX has also acted as a Scheduling Coordinator with the California Independent System Operator Corporation (“ISO”) on behalf of certain CalPX participants for transactions in the Real</w:t>
        <w:noBreakHyphen/>
        <w:t>Time Market, pursuant to a Scheduling Coordinator Agreement between CalPX and ISO under the ISO Tariff.</w:t>
      </w:r>
    </w:p>
    <w:p>
      <w:pPr>
        <w:pStyle w:val="ListNumber"/>
        <w:numPr>
          <w:ilvl w:val="0"/>
          <w:numId w:val="3"/>
        </w:numPr>
        <w:ind w:hanging="0" w:start="0"/>
        <w:rPr/>
      </w:pPr>
      <w:r>
        <w:rPr/>
        <w:t>The ISO is a non-profit, public benefit corporation, with its principal place of business in Folsom, California.  Among other functions, the ISO controls and operates the electrical transmission systems of San Diego Gas &amp; Electric Company, Southern California Edison, and Pacific Gas and Electric Company (“PG&amp;E”) pursuant to State electricity restructuring legislation and various regulatory orders.  The ISO also operates the Real-Time Imbalance, Ancillary Services, and Congestion Management Markets to assist the ISO in maintaining the reliability of the transmission grid.  Like the CalPX, the ISO operates as a clearinghouse for these energy transactions.  The ISO interfaces with Scheduling Coordinators such as CalPX, who provides the ISO with the necessary energy scheduling information for market participants on whose behalf the Scheduling Coordinator operates.  Scheduling Coordinators either receive payment for extra generation they supply or are billed for the extra energy they required from the Real-Time and other markets.  As a Scheduling Coordinator, CalPX bills this data to its own market participants.  Under the ISO Tariff, Scheduling Coordinators are required to discharge their obligations to pay the amounts owed by them, and receive payments owed to them, through the ISO.  The CalPX then settles its own market consistent with its role as Scheduling Coordinator.</w:t>
      </w:r>
    </w:p>
    <w:p>
      <w:pPr>
        <w:pStyle w:val="ListNumber"/>
        <w:numPr>
          <w:ilvl w:val="0"/>
          <w:numId w:val="0"/>
        </w:numPr>
        <w:ind w:firstLine="1080" w:start="0" w:end="0"/>
        <w:jc w:val="center"/>
        <w:rPr>
          <w:b/>
          <w:bCs/>
        </w:rPr>
      </w:pPr>
      <w:r>
        <w:rPr>
          <w:b/>
          <w:bCs/>
        </w:rPr>
        <w:t>SUMMARY OF CALPX’S ALLEGATIONS</w:t>
      </w:r>
    </w:p>
    <w:p>
      <w:pPr>
        <w:pStyle w:val="ListNumber"/>
        <w:numPr>
          <w:ilvl w:val="0"/>
          <w:numId w:val="3"/>
        </w:numPr>
        <w:ind w:hanging="0" w:start="0"/>
        <w:rPr/>
      </w:pPr>
      <w:r>
        <w:rPr/>
        <w:t>PG&amp;E is a regulated electric and natural gas utility that provides service to approximately 13 million energy customers in California.  PG&amp;E became a participant in the CalPX Core Market by entering into a December 19, 1997 Participation Agreement in which (among other things) PG&amp;E agreed to abide by, and perform all of its obligations under, the PX Tariff.  At the relevant time herein, PG&amp;E also utilized the CalPX as its Scheduling Coordinator.</w:t>
      </w:r>
    </w:p>
    <w:p>
      <w:pPr>
        <w:pStyle w:val="ListNumber"/>
        <w:numPr>
          <w:ilvl w:val="0"/>
          <w:numId w:val="3"/>
        </w:numPr>
        <w:ind w:hanging="0" w:start="0"/>
        <w:rPr/>
      </w:pPr>
      <w:r>
        <w:rPr/>
        <w:t>As a participant in the PX’s markets, PG&amp;E is obligated under the PX Tariff to pay invoices that are transmitted to it by their due date.  Section 4.3 of Schedule 2 of the PX Tariff requires that “[a]ll PX Participants shall honor their obligations to pay all of the amounts owed to the PX in a timely manner.”  Further, Section 4.3.2 of the PX Tariff requires that “All payments by the PX Participants shall be made to the PX Clearing Account via the Fedwire System for funds to be received at the PX Clearing Account no later than noon PPT on the Payment Due Date.”</w:t>
      </w:r>
    </w:p>
    <w:p>
      <w:pPr>
        <w:pStyle w:val="ListNumber"/>
        <w:numPr>
          <w:ilvl w:val="0"/>
          <w:numId w:val="3"/>
        </w:numPr>
        <w:ind w:hanging="0" w:start="0"/>
        <w:rPr/>
      </w:pPr>
      <w:r>
        <w:rPr/>
        <w:t>On or about February 27, 2001, CalPX transmitted invoices totaling approximately $1.11 billion to PG&amp;E in connection with obligations incurred in December 2000 by PG&amp;E and related entities in the Real</w:t>
        <w:noBreakHyphen/>
        <w:t>Time Market, which invoices were required to be paid to CalPX by noon on March 2, 2001.  Rather than pay any of the amounts owed to the CalPX, however,  PG&amp;E paid the sum of $177 million directly to the ISO.  By letter dated March 2, 2001, PG&amp;E advised CalPX as follows:  “Today PG&amp;E has paid $177 million . . . by wire transfer to the ISO, rather than submit these funds to the PX for transmission to the ISO.  This payment includes $5,883,885.57 for Grid Management Charges.”  CalPX has confirmed, via informal communications with the ISO, that the ISO in fact received $177 million from PG&amp;E on or about March 2, 2001.</w:t>
      </w:r>
    </w:p>
    <w:p>
      <w:pPr>
        <w:pStyle w:val="ListNumber"/>
        <w:numPr>
          <w:ilvl w:val="0"/>
          <w:numId w:val="3"/>
        </w:numPr>
        <w:ind w:hanging="0" w:start="0"/>
        <w:rPr/>
      </w:pPr>
      <w:r>
        <w:rPr/>
        <w:t>The March 2, 2001 payment by PG&amp;E to the ISO violates the PX Tariff, which requires that the payment by PG&amp;E be made directly to CalPX.  The ISO therefore has no legal right to hold these funds.  PG&amp;E’s violation of the CalPX tariff harms the CalPX and its market participants.  Funds to be paid by PG&amp;E to the CalPX are owed by the CalPX to its participants, and those sellers cannot be paid due to PG&amp;E’s failure to comply with the PX Tariff.  PG&amp;E’s payment directly to the ISO also deprives the CalPX of its ability to collect its administrative fee, which it is entitled to from transactions performed on behalf of PG&amp;E.</w:t>
      </w:r>
    </w:p>
    <w:p>
      <w:pPr>
        <w:pStyle w:val="ListNumber"/>
        <w:numPr>
          <w:ilvl w:val="0"/>
          <w:numId w:val="3"/>
        </w:numPr>
        <w:ind w:hanging="0" w:start="0"/>
        <w:rPr/>
      </w:pPr>
      <w:r>
        <w:rPr/>
        <w:t>On March 2, 2001, CalPX requested that the ISO immediately transfer to the PX the funds remitted to the ISO in accordance with the PX Tariff, in particular to ensure that the funds be treated in accordance with the injunction proceedings pending at that time before the Honorable Carlos R. Moreno of this Court.  The ISO agreed to temporarily place the funds in a segregated account (net of Grid Management Charges), and to refrain from paying or otherwise distributing the funds to any person or entity pending further review by the ISO of the issues raised by the CalPX.</w:t>
      </w:r>
    </w:p>
    <w:p>
      <w:pPr>
        <w:pStyle w:val="ListNumber"/>
        <w:numPr>
          <w:ilvl w:val="0"/>
          <w:numId w:val="3"/>
        </w:numPr>
        <w:ind w:hanging="0" w:start="0"/>
        <w:rPr/>
      </w:pPr>
      <w:r>
        <w:rPr/>
        <w:t xml:space="preserve">On March 5, 2001, the Honorable Carlos R. Moreno entered a Preliminary Injunction in a matter pending before this Court entitled </w:t>
      </w:r>
      <w:r>
        <w:rPr>
          <w:u w:val="single"/>
        </w:rPr>
        <w:t>Enron Power Marketing, Inc., et al. v. California Power Exchange Commission</w:t>
      </w:r>
      <w:r>
        <w:rPr/>
        <w:t>, Case No. CV-01-00901 CM (RZx), and Related Cases (hereafter, the “Preliminary Injunction”).  The Preliminary Injunction provides, among other things, as follows in paragraph 5:</w:t>
      </w:r>
    </w:p>
    <w:p>
      <w:pPr>
        <w:pStyle w:val="ListNumber"/>
        <w:numPr>
          <w:ilvl w:val="0"/>
          <w:numId w:val="0"/>
        </w:numPr>
        <w:ind w:hanging="0" w:start="1440" w:end="1440"/>
        <w:rPr/>
      </w:pPr>
      <w:r>
        <w:rPr/>
        <w:t>“</w:t>
      </w:r>
      <w:r>
        <w:rPr/>
        <w:t>While . . . this Injunction is in effect, sums remitted by CalPX Market Participants to CalPX in connection with the normal invoicing process for the Core (Day-Ahead, Day-Of, and Real-Time) and CTS markets . . . shall be placed by CalPX in a separate interest bearing escrow account, controlled by a third-party bank, which escrow account shall be promptly established by CalPX for the benefit of the market participants.”</w:t>
      </w:r>
    </w:p>
    <w:p>
      <w:pPr>
        <w:pStyle w:val="ListNumber"/>
        <w:numPr>
          <w:ilvl w:val="0"/>
          <w:numId w:val="0"/>
        </w:numPr>
        <w:ind w:hanging="0" w:start="0"/>
        <w:rPr/>
      </w:pPr>
      <w:r>
        <w:rPr/>
        <w:t>The funds that were transmitted to the ISO by PG&amp;E on March 2, 2001, which were required under the PX Tariff to be remitted to CalPX, are subject to treatment under paragraph 5 of the Preliminary Injunction.</w:t>
      </w:r>
    </w:p>
    <w:p>
      <w:pPr>
        <w:pStyle w:val="ListNumber"/>
        <w:numPr>
          <w:ilvl w:val="0"/>
          <w:numId w:val="3"/>
        </w:numPr>
        <w:ind w:hanging="0" w:start="0"/>
        <w:rPr/>
      </w:pPr>
      <w:r>
        <w:rPr/>
        <w:t>On March 7, 2001, CalPX submitted a letter to the ISO explaining in more detail the basis for the CalPX request that the funds remitted to the ISO by PG&amp;E (net of Grid Management Charges) be transferred to CalPX immediately in accordance with the PX Tariff, and to ensure that the funds be treated in accordance with the Preliminary Injunction.  On March 8, 2001, the ISO declined to comply with this demand, although it did not dispute the rights and obligations of CalPX and PG&amp;E under the PX Tariff and the Preliminary Injunction.  The ISO indicated, however, that it would prefer any transfer of the funds to CalPX occur pursuant to a Court Order.  The ISO was also informed that CalPX would seek such an order, and the ISO indicated that it would not oppose CalPX’s application for such an order.  Pending an order to transfer the funds, the ISO also agreed to maintain the funds received from PG&amp;E in a segregated account (net of Grid Management Charges).</w:t>
      </w:r>
    </w:p>
    <w:p>
      <w:pPr>
        <w:pStyle w:val="ListNumber"/>
        <w:numPr>
          <w:ilvl w:val="0"/>
          <w:numId w:val="0"/>
        </w:numPr>
        <w:ind w:hanging="0" w:start="0"/>
        <w:jc w:val="center"/>
        <w:rPr>
          <w:b/>
          <w:bCs/>
        </w:rPr>
      </w:pPr>
      <w:r>
        <w:rPr>
          <w:b/>
          <w:bCs/>
        </w:rPr>
        <w:t>CALPX HAS NO ADEQUATE LEGAL REMEDY</w:t>
      </w:r>
    </w:p>
    <w:p>
      <w:pPr>
        <w:pStyle w:val="ListNumber"/>
        <w:numPr>
          <w:ilvl w:val="0"/>
          <w:numId w:val="3"/>
        </w:numPr>
        <w:ind w:hanging="0" w:start="0"/>
        <w:rPr/>
      </w:pPr>
      <w:r>
        <w:rPr/>
        <w:t>CalPX is entitled to injunctive relief.  The ISO generally agreed with the CalPX’s positions as set forth in informal communications, and it has indicated that it would not formally oppose the issuance of injunctive relief.  Nevertheless, it declined to accede to the CalPX’s request absent issuance of an order from this Court.  Thus, CalPX has no adequate remedy at law, and injunctive relief is warranted.</w:t>
      </w:r>
    </w:p>
    <w:p>
      <w:pPr>
        <w:pStyle w:val="ListNumber"/>
        <w:numPr>
          <w:ilvl w:val="0"/>
          <w:numId w:val="3"/>
        </w:numPr>
        <w:ind w:hanging="0" w:start="0"/>
        <w:rPr/>
      </w:pPr>
      <w:r>
        <w:rPr/>
        <w:t>Based on CalPX’s right to receive the PG&amp;E funds under the PX Tariff, the ISO’s lack of legal right to hold the funds (net of the ISO Grid Management Charge), and the Preliminary Injunction, CalPX is likely to succeed on the merits of its claim.  CalPX will suffer irreparable harm unless an injunction is granted, for these reasons:  (a) The ISO’s retention of the PG&amp;E funds would have the ultimate effect of causing payments to other CalPX participants, which are dependent upon CalPX receiving PG&amp;E’s payment, to be short.  Approximately 15 CalPX creditors (other than the ISO) for whom CalPX acts as Scheduling Coordinator for transactions in the ISO’s markets have an interest in the funds proffered by PG&amp;E.  The ISO’s retention of the PG&amp;E funds will prevent these CalPX participants from being paid any sum under the PX Tariff with respect to December 2000 Real-Time Market activities once payments through the CalPX clearinghouse functions resume.  Furthermore, if the ISO distributes the PG&amp;E funds to ISO participants (which are payees under the ISO Tariff), these funds will not be available to pay the CalPX participants who are payees under the PX Tariff.  Thus, the ISO’s retention and/or distribution of the PG&amp;E funds would in essence favor ISO participants, which are payees under the ISO Tariff, over those that are payees under the PX Tariff.  (b) In the Preliminary Injunction, the Court has in substance ordered a “standstill” with respect to payments by CalPX to its participants, while permitting CalPX’s normal invoicing process to continue so that funds that are ultimately available for distribution will be maintained in one place.  The Court ordered that, while the normal CalPX invoicing process (aside from charge-back notices) should continue, CalPX is not required to make payments to creditors of CalPX (including the ISO) resulting from its clearinghouse function.  Instead, pending adjudication of the disputed charge-back issues, CalPX is required to maintain all payments from participants (including PG&amp;E) in an escrow account, from which the funds will ultimately be distributed after further orders of the Court and adjudication of certain claims of CalPX participants.  If the ISO is permitted to retain or distribute the Net PG&amp;E Payment, these funds will not ultimately be available for distribution in accordance with further orders of the Court.</w:t>
      </w:r>
    </w:p>
    <w:p>
      <w:pPr>
        <w:pStyle w:val="ListNumber"/>
        <w:numPr>
          <w:ilvl w:val="0"/>
          <w:numId w:val="0"/>
        </w:numPr>
        <w:ind w:hanging="0" w:start="0"/>
        <w:jc w:val="center"/>
        <w:rPr>
          <w:b/>
          <w:bCs/>
        </w:rPr>
      </w:pPr>
      <w:r>
        <w:rPr>
          <w:b/>
          <w:bCs/>
        </w:rPr>
        <w:t>CLAIM FOR RELIEF</w:t>
      </w:r>
    </w:p>
    <w:p>
      <w:pPr>
        <w:pStyle w:val="ListNumber"/>
        <w:numPr>
          <w:ilvl w:val="0"/>
          <w:numId w:val="0"/>
        </w:numPr>
        <w:ind w:hanging="0" w:start="0"/>
        <w:jc w:val="center"/>
        <w:rPr>
          <w:b/>
          <w:bCs/>
        </w:rPr>
      </w:pPr>
      <w:r>
        <w:rPr>
          <w:b/>
          <w:bCs/>
        </w:rPr>
        <w:t>(Declaratory Judgment)</w:t>
      </w:r>
    </w:p>
    <w:p>
      <w:pPr>
        <w:pStyle w:val="ListNumber"/>
        <w:numPr>
          <w:ilvl w:val="0"/>
          <w:numId w:val="3"/>
        </w:numPr>
        <w:ind w:hanging="0" w:start="0"/>
        <w:rPr/>
      </w:pPr>
      <w:r>
        <w:rPr/>
        <w:t>CalPX incorporates herein paragraphs 1 to 14 of this Complaint.</w:t>
      </w:r>
    </w:p>
    <w:p>
      <w:pPr>
        <w:pStyle w:val="ListNumber"/>
        <w:numPr>
          <w:ilvl w:val="0"/>
          <w:numId w:val="3"/>
        </w:numPr>
        <w:ind w:hanging="0" w:start="0"/>
        <w:rPr/>
      </w:pPr>
      <w:r>
        <w:rPr/>
        <w:t>CalPX seeks a declaration that the ISO lacks the legal right to hold the $177 million in funds (aside from $5,883,885.57 for Grid Management Charges) remitted to the ISO by PG&amp;E in response to invoices transmitted to PG&amp;E by CalPX in connection with obligations incurred in December 2000 by PG&amp;E in the ISO’s markets, and that the ISO holds such funds in constructive trust for CalPX.</w:t>
      </w:r>
    </w:p>
    <w:p>
      <w:pPr>
        <w:pStyle w:val="ListNumber"/>
        <w:numPr>
          <w:ilvl w:val="0"/>
          <w:numId w:val="3"/>
        </w:numPr>
        <w:ind w:hanging="0" w:start="0"/>
        <w:rPr/>
      </w:pPr>
      <w:r>
        <w:rPr/>
        <w:t>This claim presents an actual case or controversy.  On or about February 27, 2001, CalPX submitted invoices to PG&amp;E, which invoices PG&amp;E was required to pay to CalPX under the PX Tariff.  Despite prior specific directions from CalPX, PG&amp;E failed and refused to pay any amount of these invoices to CalPX, and instead remitted the sum of $177 million, including $5,883,885.57 for Grid Management Charges, directly to the ISO.  While it has not generally disputed the CalPX’s position, the ISO has declined to transfer the sum (net of $5,883,885.57 for Grid Management Charges) until a Court Order is issued.</w:t>
      </w:r>
    </w:p>
    <w:p>
      <w:pPr>
        <w:pStyle w:val="ListNumber"/>
        <w:numPr>
          <w:ilvl w:val="0"/>
          <w:numId w:val="0"/>
        </w:numPr>
        <w:ind w:hanging="0" w:start="0"/>
        <w:jc w:val="center"/>
        <w:rPr>
          <w:b/>
          <w:bCs/>
        </w:rPr>
      </w:pPr>
      <w:r>
        <w:rPr>
          <w:b/>
          <w:bCs/>
        </w:rPr>
        <w:t>PRAYER FOR RELIEF</w:t>
      </w:r>
    </w:p>
    <w:p>
      <w:pPr>
        <w:pStyle w:val="ListNumber"/>
        <w:numPr>
          <w:ilvl w:val="0"/>
          <w:numId w:val="0"/>
        </w:numPr>
        <w:ind w:hanging="0" w:start="0"/>
        <w:rPr/>
      </w:pPr>
      <w:r>
        <w:rPr/>
        <w:tab/>
        <w:t>WHEREFORE, CalPX prays for a temporary restraining order and preliminary injunction, and demands judgment against defendant as follows:</w:t>
      </w:r>
    </w:p>
    <w:p>
      <w:pPr>
        <w:pStyle w:val="ListNumber"/>
        <w:numPr>
          <w:ilvl w:val="0"/>
          <w:numId w:val="0"/>
        </w:numPr>
        <w:ind w:hanging="0" w:start="0"/>
        <w:rPr/>
      </w:pPr>
      <w:r>
        <w:rPr/>
        <w:tab/>
        <w:t>1.</w:t>
        <w:tab/>
        <w:t>A declaration that the ISO lacks the legal right to hold the $177 million in funds (aside from $5,883,885.57 for Grid Management Charges) remitted to the ISO by PG&amp;E in response to invoices transmitted to PG&amp;E by CalPX in connection with obligations incurred in December 2000 by PG&amp;E in the ISO’s markets.</w:t>
      </w:r>
    </w:p>
    <w:p>
      <w:pPr>
        <w:pStyle w:val="ListNumber"/>
        <w:numPr>
          <w:ilvl w:val="0"/>
          <w:numId w:val="0"/>
        </w:numPr>
        <w:ind w:hanging="0" w:start="0"/>
        <w:rPr/>
      </w:pPr>
      <w:r>
        <w:rPr/>
        <w:tab/>
        <w:t>2.</w:t>
        <w:tab/>
        <w:t>A declaration that the ISO holds such funds in constructive trust for CalPX.</w:t>
      </w:r>
    </w:p>
    <w:p>
      <w:pPr>
        <w:pStyle w:val="ListNumber"/>
        <w:numPr>
          <w:ilvl w:val="0"/>
          <w:numId w:val="0"/>
        </w:numPr>
        <w:ind w:hanging="0" w:start="0"/>
        <w:rPr/>
      </w:pPr>
      <w:r>
        <w:rPr/>
        <w:tab/>
        <w:t>3.</w:t>
        <w:tab/>
        <w:t>Temporary, preliminary, and permanent injunctive relief requiring that such funds, plus any interest earned thereon while in the possession of the ISO, be transferred to CalPX, to be treated in accordance with the requirements of this Court’s injunction entered on March 5, 2001.</w:t>
      </w:r>
    </w:p>
    <w:p>
      <w:pPr>
        <w:pStyle w:val="ListNumber"/>
        <w:numPr>
          <w:ilvl w:val="0"/>
          <w:numId w:val="0"/>
        </w:numPr>
        <w:ind w:hanging="0" w:start="0"/>
        <w:rPr/>
      </w:pPr>
      <w:r>
        <w:rPr/>
        <w:tab/>
        <w:t>4.</w:t>
        <w:tab/>
        <w:t>Such further relief as the Court deems just and proper.</w:t>
      </w:r>
    </w:p>
    <w:p>
      <w:pPr>
        <w:pStyle w:val="BodyText"/>
        <w:rPr>
          <w:rFonts w:ascii="Times New Roman" w:hAnsi="Times New Roman" w:cs="Times New Roman"/>
        </w:rPr>
      </w:pPr>
      <w:r>
        <w:rPr>
          <w:rFonts w:cs="Times New Roman" w:ascii="Times New Roman" w:hAnsi="Times New Roman"/>
        </w:rPr>
        <w:t>DATED:   March 16, 2001</w:t>
        <w:tab/>
        <w:tab/>
        <w:tab/>
        <w:t>WHITWELL &amp; EMHOFF LLP</w:t>
      </w:r>
    </w:p>
    <w:p>
      <w:pPr>
        <w:pStyle w:val="BodyText"/>
        <w:ind w:firstLine="720" w:start="3600" w:end="0"/>
        <w:rPr>
          <w:rFonts w:ascii="Times New Roman" w:hAnsi="Times New Roman" w:cs="Times New Roman"/>
        </w:rPr>
      </w:pPr>
      <w:r>
        <w:rPr>
          <w:rFonts w:cs="Times New Roman" w:ascii="Times New Roman" w:hAnsi="Times New Roman"/>
        </w:rPr>
        <w:t>BEN D. WHITWELL</w:t>
      </w:r>
    </w:p>
    <w:p>
      <w:pPr>
        <w:pStyle w:val="BodyText"/>
        <w:ind w:firstLine="720" w:start="3600" w:end="0"/>
        <w:rPr>
          <w:rFonts w:ascii="Times New Roman" w:hAnsi="Times New Roman" w:cs="Times New Roman"/>
        </w:rPr>
      </w:pPr>
      <w:r>
        <w:rPr>
          <w:rFonts w:cs="Times New Roman" w:ascii="Times New Roman" w:hAnsi="Times New Roman"/>
        </w:rPr>
        <w:t>JEFFREY M. TANZER</w:t>
      </w:r>
    </w:p>
    <w:p>
      <w:pPr>
        <w:pStyle w:val="BodyText"/>
        <w:ind w:firstLine="720" w:start="3600" w:end="0"/>
        <w:rPr>
          <w:rFonts w:ascii="Times New Roman" w:hAnsi="Times New Roman" w:cs="Times New Roman"/>
          <w:caps/>
        </w:rPr>
      </w:pPr>
      <w:r>
        <w:rPr>
          <w:rFonts w:cs="Times New Roman" w:ascii="Times New Roman" w:hAnsi="Times New Roman"/>
          <w:caps/>
        </w:rPr>
      </w:r>
    </w:p>
    <w:p>
      <w:pPr>
        <w:pStyle w:val="BodyText"/>
        <w:ind w:firstLine="720" w:start="3600" w:end="0"/>
        <w:rPr>
          <w:rFonts w:ascii="Times New Roman" w:hAnsi="Times New Roman" w:cs="Times New Roman"/>
          <w:caps/>
        </w:rPr>
      </w:pPr>
      <w:r>
        <w:rPr>
          <w:rFonts w:cs="Times New Roman" w:ascii="Times New Roman" w:hAnsi="Times New Roman"/>
          <w:caps/>
        </w:rPr>
      </w:r>
    </w:p>
    <w:p>
      <w:pPr>
        <w:pStyle w:val="BodyText"/>
        <w:ind w:firstLine="720" w:start="3600" w:end="0"/>
        <w:rPr>
          <w:rFonts w:ascii="Times New Roman" w:hAnsi="Times New Roman" w:cs="Times New Roman"/>
        </w:rPr>
      </w:pPr>
      <w:r>
        <w:rPr>
          <w:rFonts w:cs="Times New Roman" w:ascii="Times New Roman" w:hAnsi="Times New Roman"/>
        </w:rPr>
      </w:r>
    </w:p>
    <w:p>
      <w:pPr>
        <w:pStyle w:val="BodyText"/>
        <w:ind w:firstLine="720" w:start="3600" w:end="0"/>
        <w:rPr>
          <w:rFonts w:ascii="Times New Roman" w:hAnsi="Times New Roman" w:cs="Times New Roman"/>
        </w:rPr>
      </w:pPr>
      <w:r>
        <w:rPr>
          <w:rFonts w:cs="Times New Roman" w:ascii="Times New Roman" w:hAnsi="Times New Roman"/>
        </w:rPr>
        <w:t>By:___________________________________</w:t>
      </w:r>
    </w:p>
    <w:p>
      <w:pPr>
        <w:pStyle w:val="BodyText"/>
        <w:ind w:firstLine="720" w:start="3600" w:end="0"/>
        <w:rPr>
          <w:rFonts w:ascii="Times New Roman" w:hAnsi="Times New Roman" w:cs="Times New Roman"/>
        </w:rPr>
      </w:pPr>
      <w:r>
        <w:rPr>
          <w:rFonts w:cs="Times New Roman" w:ascii="Times New Roman" w:hAnsi="Times New Roman"/>
        </w:rPr>
        <w:tab/>
        <w:t>Ben D. Whitwell</w:t>
      </w:r>
    </w:p>
    <w:p>
      <w:pPr>
        <w:pStyle w:val="BodyText"/>
        <w:ind w:firstLine="720" w:start="3600" w:end="0"/>
        <w:rPr>
          <w:rFonts w:ascii="Times New Roman" w:hAnsi="Times New Roman" w:cs="Times New Roman"/>
        </w:rPr>
      </w:pPr>
      <w:r>
        <w:rPr>
          <w:rFonts w:cs="Times New Roman" w:ascii="Times New Roman" w:hAnsi="Times New Roman"/>
        </w:rPr>
        <w:t>Attorneys for Plaintiff</w:t>
      </w:r>
    </w:p>
    <w:p>
      <w:pPr>
        <w:pStyle w:val="ListNumber"/>
        <w:numPr>
          <w:ilvl w:val="0"/>
          <w:numId w:val="0"/>
        </w:numPr>
        <w:ind w:firstLine="720" w:start="3600" w:end="0"/>
        <w:rPr/>
      </w:pPr>
      <w:r>
        <w:rPr/>
        <w:t>California Power Exchange Corporation</w:t>
      </w:r>
    </w:p>
    <w:sectPr>
      <w:headerReference w:type="default" r:id="rId2"/>
      <w:footerReference w:type="default" r:id="rId3"/>
      <w:footnotePr>
        <w:numFmt w:val="decimal"/>
      </w:footnotePr>
      <w:type w:val="nextPage"/>
      <w:pgSz w:w="12240" w:h="15840"/>
      <w:pgMar w:left="1800" w:right="547" w:gutter="0" w:header="720" w:top="1296" w:footer="36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EngraversGothic BT">
    <w:charset w:val="00" w:characterSet="windows-1252"/>
    <w:family w:val="swiss"/>
    <w:pitch w:val="variable"/>
  </w:font>
  <w:font w:name="BernhardMod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Times New Roman" w:hAnsi="Times New Roman" w:cs="Times New Roman"/>
        <w:sz w:val="22"/>
      </w:rPr>
    </w:pP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7</w:t>
    </w:r>
    <w:r>
      <w:rPr>
        <w:rStyle w:val="PageNumber"/>
        <w:sz w:val="22"/>
        <w:rFonts w:cs="Times New Roman" w:ascii="Times New Roman" w:hAnsi="Times New Roman"/>
      </w:rPr>
      <w:fldChar w:fldCharType="end"/>
    </w:r>
  </w:p>
  <w:p>
    <w:pPr>
      <w:pStyle w:val="AbbreviatedTitle"/>
      <w:rPr/>
    </w:pPr>
    <w:r>
      <w:rPr/>
      <w:t>COMPLAINT</w:t>
    </w:r>
  </w:p>
  <w:p>
    <w:pPr>
      <w:pStyle w:val="AbbreviatedTitle"/>
      <w:jc w:val="start"/>
      <w:rPr>
        <w:sz w:val="12"/>
      </w:rPr>
    </w:pPr>
    <w:r>
      <w:rPr>
        <w:sz w:val="12"/>
      </w:rPr>
      <w:fldChar w:fldCharType="begin"/>
    </w:r>
    <w:r>
      <w:rPr>
        <w:sz w:val="12"/>
      </w:rPr>
      <w:instrText xml:space="preserve"> FILENAME \p </w:instrText>
    </w:r>
    <w:r>
      <w:rPr>
        <w:sz w:val="12"/>
      </w:rPr>
      <w:fldChar w:fldCharType="separate"/>
    </w:r>
    <w:r>
      <w:rPr>
        <w:sz w:val="12"/>
      </w:rPr>
      <w:t>/mnt/main-storage/datasets/enron-docs/doc/calpx3.doc</w:t>
    </w:r>
    <w:r>
      <w:rPr>
        <w:sz w:val="1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Times New Roman" w:ascii="Times New Roman" w:hAnsi="Times New Roman"/>
        </w:rPr>
        <w:tab/>
        <w:t>The Core Market is defined in the CalPX tariff as the “Day-Ahead, Day-Of, and Real-Time Markets operated by the PX.”</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bCs/>
        <w:i/>
        <w:i/>
        <w:iCs/>
        <w:sz w:val="28"/>
        <w:lang w:val="en-CA" w:eastAsia="en-CA"/>
      </w:rPr>
    </w:pPr>
    <w:r>
      <w:rPr>
        <w:rFonts w:cs="Times New Roman" w:ascii="Times New Roman" w:hAnsi="Times New Roman"/>
        <w:b/>
        <w:bCs/>
        <w:i/>
        <w:iCs/>
        <w:sz w:val="28"/>
        <w:lang w:val="en-CA" w:eastAsia="en-CA"/>
      </w:rPr>
      <mc:AlternateContent>
        <mc:Choice Requires="wps">
          <w:drawing>
            <wp:anchor behindDoc="1" distT="0" distB="0" distL="114935" distR="114935" simplePos="0" locked="0" layoutInCell="0" allowOverlap="1" relativeHeight="8">
              <wp:simplePos x="0" y="0"/>
              <wp:positionH relativeFrom="margin">
                <wp:posOffset>-45720</wp:posOffset>
              </wp:positionH>
              <wp:positionV relativeFrom="page">
                <wp:posOffset>0</wp:posOffset>
              </wp:positionV>
              <wp:extent cx="0" cy="10058400"/>
              <wp:effectExtent l="5080" t="0" r="5080" b="0"/>
              <wp:wrapNone/>
              <wp:docPr id="1" name="LeftBorder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5">
              <wp:simplePos x="0" y="0"/>
              <wp:positionH relativeFrom="margin">
                <wp:posOffset>-91440</wp:posOffset>
              </wp:positionH>
              <wp:positionV relativeFrom="page">
                <wp:posOffset>0</wp:posOffset>
              </wp:positionV>
              <wp:extent cx="0" cy="10058400"/>
              <wp:effectExtent l="5080" t="0" r="5080" b="0"/>
              <wp:wrapNone/>
              <wp:docPr id="2" name="LeftBorder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2">
              <wp:simplePos x="0" y="0"/>
              <wp:positionH relativeFrom="margin">
                <wp:posOffset>6400800</wp:posOffset>
              </wp:positionH>
              <wp:positionV relativeFrom="page">
                <wp:posOffset>0</wp:posOffset>
              </wp:positionV>
              <wp:extent cx="0" cy="10058400"/>
              <wp:effectExtent l="5080" t="0" r="5080" b="0"/>
              <wp:wrapNone/>
              <wp:docPr id="3" name="RightBorder"/>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0pt" to="504pt,791.95pt" ID="RightBorder"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300" simplePos="0" locked="0" layoutInCell="1" allowOverlap="1" relativeHeight="36">
              <wp:simplePos x="0" y="0"/>
              <wp:positionH relativeFrom="column">
                <wp:posOffset>-1059180</wp:posOffset>
              </wp:positionH>
              <wp:positionV relativeFrom="paragraph">
                <wp:posOffset>3737610</wp:posOffset>
              </wp:positionV>
              <wp:extent cx="654685" cy="1333500"/>
              <wp:effectExtent l="635" t="0" r="0" b="0"/>
              <wp:wrapNone/>
              <wp:docPr id="4" name="Box2"/>
              <a:graphic xmlns:a="http://schemas.openxmlformats.org/drawingml/2006/main">
                <a:graphicData uri="http://schemas.microsoft.com/office/word/2010/wordprocessingShape">
                  <wps:wsp>
                    <wps:cNvSpPr/>
                    <wps:spPr>
                      <a:xfrm>
                        <a:off x="0" y="0"/>
                        <a:ext cx="654840" cy="1333440"/>
                      </a:xfrm>
                      <a:prstGeom prst="rect">
                        <a:avLst/>
                      </a:prstGeom>
                      <a:noFill/>
                      <a:ln w="0">
                        <a:noFill/>
                      </a:ln>
                    </wps:spPr>
                    <wps:style>
                      <a:lnRef idx="0"/>
                      <a:fillRef idx="0"/>
                      <a:effectRef idx="0"/>
                      <a:fontRef idx="minor"/>
                    </wps:style>
                    <wps:bodyPr/>
                  </wps:wsp>
                </a:graphicData>
              </a:graphic>
            </wp:anchor>
          </w:drawing>
        </mc:Choice>
        <mc:Fallback>
          <w:pict>
            <v:rect id="shape_0" ID="Box2" stroked="f" o:allowincell="f" style="position:absolute;margin-left:-83.4pt;margin-top:294.3pt;width:51.5pt;height:104.95pt;mso-wrap-style:none;v-text-anchor:middle">
              <v:fill o:detectmouseclick="t" on="false"/>
              <v:stroke color="#3465a4" joinstyle="round" endcap="flat"/>
              <w10:wrap type="none"/>
            </v:rect>
          </w:pict>
        </mc:Fallback>
      </mc:AlternateContent>
    </w:r>
    <w:r>
      <mc:AlternateContent>
        <mc:Choice Requires="wps">
          <w:drawing>
            <wp:anchor behindDoc="1" distT="0" distB="0" distL="114935" distR="114935" simplePos="0" locked="0" layoutInCell="0" allowOverlap="1" relativeHeight="29">
              <wp:simplePos x="0" y="0"/>
              <wp:positionH relativeFrom="margin">
                <wp:posOffset>-640080</wp:posOffset>
              </wp:positionH>
              <wp:positionV relativeFrom="margin">
                <wp:posOffset>0</wp:posOffset>
              </wp:positionV>
              <wp:extent cx="457200" cy="8595360"/>
              <wp:effectExtent l="0" t="0" r="0" b="0"/>
              <wp:wrapNone/>
              <wp:docPr id="5" name="Frame2"/>
              <a:graphic xmlns:a="http://schemas.openxmlformats.org/drawingml/2006/main">
                <a:graphicData uri="http://schemas.microsoft.com/office/word/2010/wordprocessingShape">
                  <wps:wsp>
                    <wps:cNvSpPr txBox="1"/>
                    <wps:spPr>
                      <a:xfrm>
                        <a:off x="0" y="0"/>
                        <a:ext cx="457200" cy="8595360"/>
                      </a:xfrm>
                      <a:prstGeom prst="rect"/>
                      <a:solidFill>
                        <a:srgbClr val="FFFFFF"/>
                      </a:solidFill>
                    </wps:spPr>
                    <wps:txbx>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wps:txbx>
                    <wps:bodyPr anchor="t" lIns="635" tIns="635" rIns="635" bIns="635">
                      <a:noAutofit/>
                    </wps:bodyPr>
                  </wps:wsp>
                </a:graphicData>
              </a:graphic>
            </wp:anchor>
          </w:drawing>
        </mc:Choice>
        <mc:Fallback>
          <w:pict>
            <v:rect fillcolor="#FFFFFF" style="position:absolute;rotation:-0;width:36pt;height:676.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i w:val="false"/>
        <w:u w:val="none"/>
        <w:b/>
      </w:rPr>
    </w:lvl>
    <w:lvl w:ilvl="1">
      <w:start w:val="1"/>
      <w:pStyle w:val="Heading2"/>
      <w:numFmt w:val="upperLetter"/>
      <w:lvlText w:val="%2."/>
      <w:lvlJc w:val="end"/>
      <w:pPr>
        <w:tabs>
          <w:tab w:val="num" w:pos="1440"/>
        </w:tabs>
        <w:ind w:start="1440" w:hanging="360"/>
      </w:pPr>
      <w:rPr>
        <w:i w:val="false"/>
        <w:u w:val="none"/>
        <w:b/>
      </w:rPr>
    </w:lvl>
    <w:lvl w:ilvl="2">
      <w:start w:val="1"/>
      <w:pStyle w:val="Heading3"/>
      <w:numFmt w:val="decimal"/>
      <w:lvlText w:val="%3."/>
      <w:lvlJc w:val="end"/>
      <w:pPr>
        <w:tabs>
          <w:tab w:val="num" w:pos="2160"/>
        </w:tabs>
        <w:ind w:start="2160" w:hanging="360"/>
      </w:pPr>
      <w:rPr>
        <w:i w:val="false"/>
        <w:u w:val="none"/>
        <w:b/>
      </w:rPr>
    </w:lvl>
    <w:lvl w:ilvl="3">
      <w:start w:val="1"/>
      <w:pStyle w:val="Heading4"/>
      <w:numFmt w:val="lowerLetter"/>
      <w:lvlText w:val="%4."/>
      <w:lvlJc w:val="end"/>
      <w:pPr>
        <w:tabs>
          <w:tab w:val="num" w:pos="2880"/>
        </w:tabs>
        <w:ind w:start="2880" w:hanging="360"/>
      </w:pPr>
      <w:rPr>
        <w:i w:val="false"/>
        <w:u w:val="none"/>
        <w:b/>
      </w:rPr>
    </w:lvl>
    <w:lvl w:ilvl="4">
      <w:start w:val="1"/>
      <w:pStyle w:val="Heading5"/>
      <w:numFmt w:val="decimal"/>
      <w:lvlText w:val="(%5)"/>
      <w:lvlJc w:val="end"/>
      <w:pPr>
        <w:tabs>
          <w:tab w:val="num" w:pos="3600"/>
        </w:tabs>
        <w:ind w:start="3600" w:hanging="360"/>
      </w:pPr>
      <w:rPr>
        <w:i w:val="false"/>
        <w:u w:val="none"/>
        <w:b/>
      </w:rPr>
    </w:lvl>
    <w:lvl w:ilvl="5">
      <w:start w:val="1"/>
      <w:pStyle w:val="Heading6"/>
      <w:numFmt w:val="lowerLetter"/>
      <w:lvlText w:val="(%6)"/>
      <w:lvlJc w:val="end"/>
      <w:pPr>
        <w:tabs>
          <w:tab w:val="num" w:pos="4320"/>
        </w:tabs>
        <w:ind w:start="4320" w:hanging="360"/>
      </w:pPr>
      <w:rPr>
        <w:i w:val="false"/>
        <w:b/>
      </w:rPr>
    </w:lvl>
    <w:lvl w:ilvl="6">
      <w:start w:val="1"/>
      <w:pStyle w:val="Heading7"/>
      <w:numFmt w:val="none"/>
      <w:suff w:val="nothing"/>
      <w:lvlText w:val="Level Not Defined"/>
      <w:lvlJc w:val="start"/>
      <w:pPr>
        <w:tabs>
          <w:tab w:val="num" w:pos="2880"/>
        </w:tabs>
        <w:ind w:start="0" w:hanging="0"/>
      </w:pPr>
      <w:rPr>
        <w:i w:val="false"/>
        <w:b/>
      </w:rPr>
    </w:lvl>
    <w:lvl w:ilvl="7">
      <w:start w:val="1"/>
      <w:pStyle w:val="Heading8"/>
      <w:numFmt w:val="none"/>
      <w:suff w:val="nothing"/>
      <w:lvlText w:val="Level Not Defined"/>
      <w:lvlJc w:val="start"/>
      <w:pPr>
        <w:tabs>
          <w:tab w:val="num" w:pos="2880"/>
        </w:tabs>
        <w:ind w:start="0" w:hanging="0"/>
      </w:pPr>
      <w:rPr>
        <w:i w:val="false"/>
        <w:b/>
      </w:rPr>
    </w:lvl>
    <w:lvl w:ilvl="8">
      <w:start w:val="1"/>
      <w:pStyle w:val="Heading9"/>
      <w:numFmt w:val="none"/>
      <w:suff w:val="nothing"/>
      <w:lvlText w:val="Level Not Defined"/>
      <w:lvlJc w:val="start"/>
      <w:pPr>
        <w:tabs>
          <w:tab w:val="num" w:pos="2880"/>
        </w:tabs>
        <w:ind w:start="0" w:hanging="0"/>
      </w:pPr>
      <w:rPr>
        <w:i w:val="false"/>
        <w:b/>
      </w:rPr>
    </w:lvl>
  </w:abstractNum>
  <w:abstractNum w:abstractNumId="2">
    <w:lvl w:ilvl="0">
      <w:start w:val="1"/>
      <w:numFmt w:val="decimal"/>
      <w:suff w:val="space"/>
      <w:lvlText w:val="SUPPLEMENTAL SPECIAL INTERROGATORY NO."/>
      <w:lvlJc w:val="start"/>
      <w:pPr>
        <w:tabs>
          <w:tab w:val="num" w:pos="0"/>
        </w:tabs>
        <w:ind w:start="0" w:hanging="0"/>
      </w:pPr>
      <w:rPr>
        <w:i w:val="false"/>
        <w:b/>
      </w:rPr>
    </w:lvl>
    <w:lvl w:ilvl="1">
      <w:start w:val="1"/>
      <w:numFmt w:val="decimal"/>
      <w:suff w:val="nothing"/>
      <w:lvlText w:val="SUPPLEMENTAL RESPONSE TO SPECIAL INTERROGATORY NO."/>
      <w:lvlJc w:val="start"/>
      <w:pPr>
        <w:tabs>
          <w:tab w:val="num" w:pos="0"/>
        </w:tabs>
        <w:ind w:start="0" w:hanging="0"/>
      </w:pPr>
      <w:rPr>
        <w:b/>
      </w:rPr>
    </w:lvl>
    <w:lvl w:ilvl="2">
      <w:start w:val="1"/>
      <w:numFmt w:val="decimal"/>
      <w:suff w:val="nothing"/>
      <w:lvlText w:val="%3"/>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decimal"/>
      <w:lvlText w:val="%1."/>
      <w:lvlJc w:val="end"/>
      <w:pPr>
        <w:tabs>
          <w:tab w:val="num" w:pos="1440"/>
        </w:tabs>
        <w:ind w:start="0" w:firstLine="1080"/>
      </w:pPr>
    </w:lvl>
    <w:lvl w:ilvl="1">
      <w:start w:val="1"/>
      <w:numFmt w:val="lowerLetter"/>
      <w:lvlText w:val="%2."/>
      <w:lvlJc w:val="end"/>
      <w:pPr>
        <w:tabs>
          <w:tab w:val="num" w:pos="2160"/>
        </w:tabs>
        <w:ind w:start="0" w:firstLine="1800"/>
      </w:pPr>
    </w:lvl>
    <w:lvl w:ilvl="2">
      <w:start w:val="1"/>
      <w:numFmt w:val="lowerRoman"/>
      <w:lvlText w:val="%3."/>
      <w:lvlJc w:val="end"/>
      <w:pPr>
        <w:tabs>
          <w:tab w:val="num" w:pos="2880"/>
        </w:tabs>
        <w:ind w:start="0" w:firstLine="2520"/>
      </w:pPr>
    </w:lvl>
    <w:lvl w:ilvl="3">
      <w:start w:val="1"/>
      <w:numFmt w:val="none"/>
      <w:suff w:val="nothing"/>
      <w:lvlText w:val="Level Not Defined"/>
      <w:lvlJc w:val="start"/>
      <w:pPr>
        <w:tabs>
          <w:tab w:val="num" w:pos="0"/>
        </w:tabs>
        <w:ind w:start="0" w:hanging="0"/>
      </w:pPr>
      <w:rPr>
        <w:i w:val="false"/>
        <w:b/>
      </w:rPr>
    </w:lvl>
    <w:lvl w:ilvl="4">
      <w:start w:val="1"/>
      <w:numFmt w:val="none"/>
      <w:suff w:val="nothing"/>
      <w:lvlText w:val="Level Not Defined"/>
      <w:lvlJc w:val="start"/>
      <w:pPr>
        <w:tabs>
          <w:tab w:val="num" w:pos="0"/>
        </w:tabs>
        <w:ind w:start="0" w:hanging="0"/>
      </w:pPr>
      <w:rPr>
        <w:i w:val="false"/>
        <w:b/>
      </w:rPr>
    </w:lvl>
    <w:lvl w:ilvl="5">
      <w:start w:val="1"/>
      <w:numFmt w:val="none"/>
      <w:suff w:val="nothing"/>
      <w:lvlText w:val="Level Not Defined"/>
      <w:lvlJc w:val="start"/>
      <w:pPr>
        <w:tabs>
          <w:tab w:val="num" w:pos="0"/>
        </w:tabs>
        <w:ind w:start="0" w:hanging="0"/>
      </w:pPr>
      <w:rPr>
        <w:i w:val="false"/>
        <w:b/>
      </w:rPr>
    </w:lvl>
    <w:lvl w:ilvl="6">
      <w:start w:val="1"/>
      <w:numFmt w:val="none"/>
      <w:suff w:val="nothing"/>
      <w:lvlText w:val="Level Not Defined"/>
      <w:lvlJc w:val="start"/>
      <w:pPr>
        <w:tabs>
          <w:tab w:val="num" w:pos="0"/>
        </w:tabs>
        <w:ind w:start="0" w:hanging="0"/>
      </w:pPr>
      <w:rPr>
        <w:i w:val="false"/>
        <w:b/>
      </w:rPr>
    </w:lvl>
    <w:lvl w:ilvl="7">
      <w:start w:val="1"/>
      <w:numFmt w:val="none"/>
      <w:suff w:val="nothing"/>
      <w:lvlText w:val="Level Not Defined"/>
      <w:lvlJc w:val="start"/>
      <w:pPr>
        <w:tabs>
          <w:tab w:val="num" w:pos="0"/>
        </w:tabs>
        <w:ind w:start="0" w:hanging="0"/>
      </w:pPr>
      <w:rPr>
        <w:i w:val="false"/>
        <w:b/>
      </w:rPr>
    </w:lvl>
    <w:lvl w:ilvl="8">
      <w:start w:val="1"/>
      <w:numFmt w:val="none"/>
      <w:suff w:val="nothing"/>
      <w:lvlText w:val="Level Not Defined"/>
      <w:lvlJc w:val="start"/>
      <w:pPr>
        <w:tabs>
          <w:tab w:val="num" w:pos="0"/>
        </w:tabs>
        <w:ind w:start="0" w:hanging="0"/>
      </w:pPr>
      <w:rPr>
        <w:i w:val="false"/>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docVars>
    <w:docVar w:name="AttorneyName" w:val="-1"/>
    <w:docVar w:name="CaptionBoxStyle" w:val="0"/>
    <w:docVar w:name="CourtAlignment" w:val="1"/>
    <w:docVar w:name="CourtName" w:val="SUPERIOR COURT FOR THE STATE OF CALIFORNIA"/>
    <w:docVar w:name="FirmInFtr" w:val="0"/>
    <w:docVar w:name="FirmInSigBlkStyle" w:val="0"/>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exact" w:line="480"/>
    </w:pPr>
    <w:rPr>
      <w:rFonts w:ascii="Courier New" w:hAnsi="Courier New" w:eastAsia="Times New Roman" w:cs="Courier New"/>
      <w:color w:val="auto"/>
      <w:sz w:val="24"/>
      <w:szCs w:val="20"/>
      <w:lang w:val="en-US" w:bidi="ar-SA" w:eastAsia="zh-CN"/>
    </w:rPr>
  </w:style>
  <w:style w:type="paragraph" w:styleId="Heading1">
    <w:name w:val="heading 1"/>
    <w:basedOn w:val="Normal"/>
    <w:next w:val="BodyText2"/>
    <w:qFormat/>
    <w:pPr>
      <w:keepNext w:val="true"/>
      <w:numPr>
        <w:ilvl w:val="0"/>
        <w:numId w:val="1"/>
      </w:numPr>
      <w:tabs>
        <w:tab w:val="clear" w:pos="720"/>
        <w:tab w:val="left" w:pos="360" w:leader="none"/>
      </w:tabs>
      <w:outlineLvl w:val="0"/>
    </w:pPr>
    <w:rPr>
      <w:b/>
      <w:caps/>
    </w:rPr>
  </w:style>
  <w:style w:type="paragraph" w:styleId="Heading2">
    <w:name w:val="heading 2"/>
    <w:basedOn w:val="Normal"/>
    <w:next w:val="BodyText2"/>
    <w:qFormat/>
    <w:pPr>
      <w:keepNext w:val="true"/>
      <w:numPr>
        <w:ilvl w:val="1"/>
        <w:numId w:val="1"/>
      </w:numPr>
      <w:outlineLvl w:val="1"/>
    </w:pPr>
    <w:rPr>
      <w:b/>
    </w:rPr>
  </w:style>
  <w:style w:type="paragraph" w:styleId="Heading3">
    <w:name w:val="heading 3"/>
    <w:basedOn w:val="Normal"/>
    <w:next w:val="BodyText2"/>
    <w:qFormat/>
    <w:pPr>
      <w:keepNext w:val="true"/>
      <w:numPr>
        <w:ilvl w:val="2"/>
        <w:numId w:val="1"/>
      </w:numPr>
      <w:outlineLvl w:val="2"/>
    </w:pPr>
    <w:rPr>
      <w:b/>
    </w:rPr>
  </w:style>
  <w:style w:type="paragraph" w:styleId="Heading4">
    <w:name w:val="heading 4"/>
    <w:basedOn w:val="Normal"/>
    <w:next w:val="BodyText2"/>
    <w:qFormat/>
    <w:pPr>
      <w:keepNext w:val="true"/>
      <w:numPr>
        <w:ilvl w:val="3"/>
        <w:numId w:val="1"/>
      </w:numPr>
      <w:outlineLvl w:val="3"/>
    </w:pPr>
    <w:rPr>
      <w:b/>
    </w:rPr>
  </w:style>
  <w:style w:type="paragraph" w:styleId="Heading5">
    <w:name w:val="heading 5"/>
    <w:basedOn w:val="Normal"/>
    <w:next w:val="BodyText2"/>
    <w:qFormat/>
    <w:pPr>
      <w:keepNext w:val="true"/>
      <w:numPr>
        <w:ilvl w:val="4"/>
        <w:numId w:val="1"/>
      </w:numPr>
      <w:outlineLvl w:val="4"/>
    </w:pPr>
    <w:rPr>
      <w:b/>
    </w:rPr>
  </w:style>
  <w:style w:type="paragraph" w:styleId="Heading6">
    <w:name w:val="heading 6"/>
    <w:basedOn w:val="Normal"/>
    <w:next w:val="Normal"/>
    <w:qFormat/>
    <w:pPr>
      <w:numPr>
        <w:ilvl w:val="5"/>
        <w:numId w:val="1"/>
      </w:numPr>
      <w:outlineLvl w:val="5"/>
    </w:pPr>
    <w:rPr>
      <w:b/>
      <w:u w:val="single"/>
    </w:rPr>
  </w:style>
  <w:style w:type="paragraph" w:styleId="Heading7">
    <w:name w:val="heading 7"/>
    <w:basedOn w:val="Normal"/>
    <w:next w:val="Normal"/>
    <w:qFormat/>
    <w:pPr>
      <w:numPr>
        <w:ilvl w:val="6"/>
        <w:numId w:val="1"/>
      </w:numPr>
      <w:outlineLvl w:val="6"/>
    </w:pPr>
    <w:rPr>
      <w:b/>
      <w:u w:val="single"/>
    </w:rPr>
  </w:style>
  <w:style w:type="paragraph" w:styleId="Heading8">
    <w:name w:val="heading 8"/>
    <w:basedOn w:val="Normal"/>
    <w:next w:val="Normal"/>
    <w:qFormat/>
    <w:pPr>
      <w:numPr>
        <w:ilvl w:val="7"/>
        <w:numId w:val="1"/>
      </w:numPr>
      <w:outlineLvl w:val="7"/>
    </w:pPr>
    <w:rPr>
      <w:b/>
      <w:u w:val="single"/>
    </w:rPr>
  </w:style>
  <w:style w:type="paragraph" w:styleId="Heading9">
    <w:name w:val="heading 9"/>
    <w:basedOn w:val="Normal"/>
    <w:next w:val="Normal"/>
    <w:qFormat/>
    <w:pPr>
      <w:numPr>
        <w:ilvl w:val="8"/>
        <w:numId w:val="1"/>
      </w:numPr>
      <w:outlineLvl w:val="8"/>
    </w:pPr>
    <w:rPr>
      <w:b/>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b/>
      <w:i w:val="false"/>
      <w:u w:val="none"/>
    </w:rPr>
  </w:style>
  <w:style w:type="character" w:styleId="WW8Num10z5">
    <w:name w:val="WW8Num10z5"/>
    <w:qFormat/>
    <w:rPr>
      <w:b/>
      <w:i w:val="false"/>
    </w:rPr>
  </w:style>
  <w:style w:type="character" w:styleId="WW8Num11z0">
    <w:name w:val="WW8Num11z0"/>
    <w:qFormat/>
    <w:rPr/>
  </w:style>
  <w:style w:type="character" w:styleId="WW8Num12z3">
    <w:name w:val="WW8Num12z3"/>
    <w:qFormat/>
    <w:rPr>
      <w:b/>
      <w:i w:val="false"/>
    </w:rPr>
  </w:style>
  <w:style w:type="character" w:styleId="WW8Num13z0">
    <w:name w:val="WW8Num13z0"/>
    <w:qFormat/>
    <w:rPr>
      <w:rFonts w:ascii="Times New Roman" w:hAnsi="Times New Roman" w:cs="Times New Roman"/>
      <w:b w:val="false"/>
      <w:i w:val="false"/>
      <w:sz w:val="24"/>
    </w:rPr>
  </w:style>
  <w:style w:type="character" w:styleId="WW8Num13z1">
    <w:name w:val="WW8Num13z1"/>
    <w:qFormat/>
    <w:rPr>
      <w:rFonts w:ascii="Times New Roman" w:hAnsi="Times New Roman" w:cs="Times New Roman"/>
      <w:sz w:val="24"/>
    </w:rPr>
  </w:style>
  <w:style w:type="character" w:styleId="WW8Num14z0">
    <w:name w:val="WW8Num14z0"/>
    <w:qFormat/>
    <w:rPr>
      <w:b/>
      <w:i w:val="false"/>
      <w:u w:val="none"/>
    </w:rPr>
  </w:style>
  <w:style w:type="character" w:styleId="WW8Num14z5">
    <w:name w:val="WW8Num14z5"/>
    <w:qFormat/>
    <w:rPr>
      <w:b/>
      <w:i w:val="false"/>
    </w:rPr>
  </w:style>
  <w:style w:type="character" w:styleId="WW8Num15z0">
    <w:name w:val="WW8Num15z0"/>
    <w:qFormat/>
    <w:rPr/>
  </w:style>
  <w:style w:type="character" w:styleId="WW8Num16z0">
    <w:name w:val="WW8Num16z0"/>
    <w:qFormat/>
    <w:rPr>
      <w:b/>
      <w:i w:val="false"/>
    </w:rPr>
  </w:style>
  <w:style w:type="character" w:styleId="WW8Num16z1">
    <w:name w:val="WW8Num16z1"/>
    <w:qFormat/>
    <w:rPr>
      <w:b/>
    </w:rPr>
  </w:style>
  <w:style w:type="character" w:styleId="WW8Num17z0">
    <w:name w:val="WW8Num17z0"/>
    <w:qFormat/>
    <w:rPr>
      <w:b/>
      <w:i w:val="false"/>
      <w:u w:val="none"/>
    </w:rPr>
  </w:style>
  <w:style w:type="character" w:styleId="WW8Num17z5">
    <w:name w:val="WW8Num17z5"/>
    <w:qFormat/>
    <w:rPr>
      <w:b/>
      <w:i w:val="false"/>
    </w:rPr>
  </w:style>
  <w:style w:type="character" w:styleId="WW8Num18z0">
    <w:name w:val="WW8Num18z0"/>
    <w:qFormat/>
    <w:rPr>
      <w:b/>
      <w:i w:val="false"/>
      <w:u w:val="none"/>
    </w:rPr>
  </w:style>
  <w:style w:type="character" w:styleId="WW8Num18z5">
    <w:name w:val="WW8Num18z5"/>
    <w:qFormat/>
    <w:rPr>
      <w:b/>
      <w:i w:val="false"/>
    </w:rPr>
  </w:style>
  <w:style w:type="character" w:styleId="WW8Num19z0">
    <w:name w:val="WW8Num19z0"/>
    <w:qFormat/>
    <w:rPr/>
  </w:style>
  <w:style w:type="character" w:styleId="WW8Num20z0">
    <w:name w:val="WW8Num20z0"/>
    <w:qFormat/>
    <w:rPr>
      <w:b/>
      <w:i w:val="false"/>
      <w:u w:val="none"/>
    </w:rPr>
  </w:style>
  <w:style w:type="character" w:styleId="WW8Num20z5">
    <w:name w:val="WW8Num20z5"/>
    <w:qFormat/>
    <w:rPr>
      <w:b/>
      <w:i w:val="false"/>
    </w:rPr>
  </w:style>
  <w:style w:type="character" w:styleId="WW8Num21z0">
    <w:name w:val="WW8Num21z0"/>
    <w:qFormat/>
    <w:rPr>
      <w:b/>
      <w:i w:val="false"/>
    </w:rPr>
  </w:style>
  <w:style w:type="character" w:styleId="WW8Num21z1">
    <w:name w:val="WW8Num21z1"/>
    <w:qFormat/>
    <w:rPr>
      <w:b/>
    </w:rPr>
  </w:style>
  <w:style w:type="character" w:styleId="WW8Num22z0">
    <w:name w:val="WW8Num22z0"/>
    <w:qFormat/>
    <w:rPr>
      <w:b/>
      <w:i w:val="false"/>
      <w:u w:val="none"/>
    </w:rPr>
  </w:style>
  <w:style w:type="character" w:styleId="WW8Num22z5">
    <w:name w:val="WW8Num22z5"/>
    <w:qFormat/>
    <w:rPr>
      <w:b/>
      <w:i w:val="false"/>
    </w:rPr>
  </w:style>
  <w:style w:type="character" w:styleId="WW8Num23z0">
    <w:name w:val="WW8Num23z0"/>
    <w:qFormat/>
    <w:rPr>
      <w:b/>
      <w:i w:val="false"/>
      <w:u w:val="none"/>
    </w:rPr>
  </w:style>
  <w:style w:type="character" w:styleId="WW8Num23z5">
    <w:name w:val="WW8Num23z5"/>
    <w:qFormat/>
    <w:rPr>
      <w:b/>
      <w:i w:val="false"/>
    </w:rPr>
  </w:style>
  <w:style w:type="character" w:styleId="WW8Num24z0">
    <w:name w:val="WW8Num24z0"/>
    <w:qFormat/>
    <w:rPr/>
  </w:style>
  <w:style w:type="character" w:styleId="WW8Num25z0">
    <w:name w:val="WW8Num25z0"/>
    <w:qFormat/>
    <w:rPr>
      <w:b/>
      <w:i w:val="false"/>
    </w:rPr>
  </w:style>
  <w:style w:type="character" w:styleId="WW8Num25z1">
    <w:name w:val="WW8Num25z1"/>
    <w:qFormat/>
    <w:rPr>
      <w:b/>
    </w:rPr>
  </w:style>
  <w:style w:type="character" w:styleId="WW8Num25z2">
    <w:name w:val="WW8Num25z2"/>
    <w:qFormat/>
    <w:rPr/>
  </w:style>
  <w:style w:type="character" w:styleId="WW8Num26z0">
    <w:name w:val="WW8Num26z0"/>
    <w:qFormat/>
    <w:rPr/>
  </w:style>
  <w:style w:type="character" w:styleId="WW8Num27z0">
    <w:name w:val="WW8Num27z0"/>
    <w:qFormat/>
    <w:rPr>
      <w:b/>
      <w:i w:val="false"/>
      <w:u w:val="none"/>
    </w:rPr>
  </w:style>
  <w:style w:type="character" w:styleId="WW8Num27z5">
    <w:name w:val="WW8Num27z5"/>
    <w:qFormat/>
    <w:rPr>
      <w:b/>
      <w:i w:val="false"/>
    </w:rPr>
  </w:style>
  <w:style w:type="character" w:styleId="WW8Num28z0">
    <w:name w:val="WW8Num28z0"/>
    <w:qFormat/>
    <w:rPr>
      <w:b/>
      <w:i w:val="false"/>
      <w:u w:val="none"/>
    </w:rPr>
  </w:style>
  <w:style w:type="character" w:styleId="WW8Num28z5">
    <w:name w:val="WW8Num28z5"/>
    <w:qFormat/>
    <w:rPr>
      <w:b/>
      <w:i w:val="false"/>
    </w:rPr>
  </w:style>
  <w:style w:type="character" w:styleId="WW8Num29z0">
    <w:name w:val="WW8Num29z0"/>
    <w:qFormat/>
    <w:rPr/>
  </w:style>
  <w:style w:type="character" w:styleId="WW8Num30z0">
    <w:name w:val="WW8Num30z0"/>
    <w:qFormat/>
    <w:rPr>
      <w:b/>
      <w:i w:val="false"/>
      <w:u w:val="none"/>
    </w:rPr>
  </w:style>
  <w:style w:type="character" w:styleId="WW8Num30z5">
    <w:name w:val="WW8Num30z5"/>
    <w:qFormat/>
    <w:rPr>
      <w:b/>
      <w:i w:val="false"/>
    </w:rPr>
  </w:style>
  <w:style w:type="character" w:styleId="WW8Num31z0">
    <w:name w:val="WW8Num31z0"/>
    <w:qFormat/>
    <w:rPr/>
  </w:style>
  <w:style w:type="character" w:styleId="WW8Num32z0">
    <w:name w:val="WW8Num32z0"/>
    <w:qFormat/>
    <w:rPr/>
  </w:style>
  <w:style w:type="character" w:styleId="WW8Num33z0">
    <w:name w:val="WW8Num33z0"/>
    <w:qFormat/>
    <w:rPr>
      <w:b/>
      <w:i w:val="false"/>
      <w:u w:val="none"/>
    </w:rPr>
  </w:style>
  <w:style w:type="character" w:styleId="WW8Num33z5">
    <w:name w:val="WW8Num33z5"/>
    <w:qFormat/>
    <w:rPr>
      <w:b/>
      <w:i w:val="false"/>
    </w:rPr>
  </w:style>
  <w:style w:type="character" w:styleId="WW8Num34z0">
    <w:name w:val="WW8Num34z0"/>
    <w:qFormat/>
    <w:rPr>
      <w:rFonts w:ascii="Times New Roman" w:hAnsi="Times New Roman" w:cs="Times New Roman"/>
      <w:b/>
      <w:i w:val="false"/>
      <w:sz w:val="24"/>
    </w:rPr>
  </w:style>
  <w:style w:type="character" w:styleId="WW8Num34z1">
    <w:name w:val="WW8Num34z1"/>
    <w:qFormat/>
    <w:rPr>
      <w:b/>
    </w:rPr>
  </w:style>
  <w:style w:type="character" w:styleId="WW8Num34z2">
    <w:name w:val="WW8Num34z2"/>
    <w:qFormat/>
    <w:rPr/>
  </w:style>
  <w:style w:type="character" w:styleId="WW8Num35z0">
    <w:name w:val="WW8Num35z0"/>
    <w:qFormat/>
    <w:rPr>
      <w:b/>
      <w:i w:val="false"/>
      <w:u w:val="none"/>
    </w:rPr>
  </w:style>
  <w:style w:type="character" w:styleId="WW8Num35z5">
    <w:name w:val="WW8Num35z5"/>
    <w:qFormat/>
    <w:rPr>
      <w:b/>
      <w:i w:val="false"/>
    </w:rPr>
  </w:style>
  <w:style w:type="character" w:styleId="WW8Num36z3">
    <w:name w:val="WW8Num36z3"/>
    <w:qFormat/>
    <w:rPr>
      <w:b/>
      <w:i w:val="false"/>
    </w:rPr>
  </w:style>
  <w:style w:type="character" w:styleId="WW8Num37z0">
    <w:name w:val="WW8Num37z0"/>
    <w:qFormat/>
    <w:rPr>
      <w:rFonts w:ascii="Times New Roman" w:hAnsi="Times New Roman" w:cs="Times New Roman"/>
      <w:b w:val="false"/>
      <w:i w:val="false"/>
      <w:sz w:val="24"/>
    </w:rPr>
  </w:style>
  <w:style w:type="character" w:styleId="WW8Num37z1">
    <w:name w:val="WW8Num37z1"/>
    <w:qFormat/>
    <w:rPr>
      <w:rFonts w:ascii="Times New Roman" w:hAnsi="Times New Roman" w:cs="Times New Roman"/>
      <w:sz w:val="24"/>
    </w:rPr>
  </w:style>
  <w:style w:type="character" w:styleId="WW8Num38z0">
    <w:name w:val="WW8Num38z0"/>
    <w:qFormat/>
    <w:rPr/>
  </w:style>
  <w:style w:type="character" w:styleId="WW8Num39z3">
    <w:name w:val="WW8Num39z3"/>
    <w:qFormat/>
    <w:rPr>
      <w:b/>
      <w:i w:val="false"/>
    </w:rPr>
  </w:style>
  <w:style w:type="character" w:styleId="WW8Num40z0">
    <w:name w:val="WW8Num40z0"/>
    <w:qFormat/>
    <w:rPr>
      <w:b w:val="false"/>
      <w:i w:val="false"/>
      <w:sz w:val="24"/>
    </w:rPr>
  </w:style>
  <w:style w:type="character" w:styleId="WW8Num41z0">
    <w:name w:val="WW8Num41z0"/>
    <w:qFormat/>
    <w:rPr/>
  </w:style>
  <w:style w:type="character" w:styleId="WW8Num42z0">
    <w:name w:val="WW8Num42z0"/>
    <w:qFormat/>
    <w:rPr>
      <w:b/>
      <w:i w:val="false"/>
      <w:u w:val="none"/>
    </w:rPr>
  </w:style>
  <w:style w:type="character" w:styleId="WW8Num42z5">
    <w:name w:val="WW8Num42z5"/>
    <w:qFormat/>
    <w:rPr>
      <w:b/>
      <w:i w:val="false"/>
    </w:rPr>
  </w:style>
  <w:style w:type="character" w:styleId="WW8NumSt28z0">
    <w:name w:val="WW8NumSt28z0"/>
    <w:qFormat/>
    <w:rPr>
      <w:b/>
      <w:i w:val="false"/>
    </w:rPr>
  </w:style>
  <w:style w:type="character" w:styleId="WW8NumSt28z1">
    <w:name w:val="WW8NumSt28z1"/>
    <w:qFormat/>
    <w:rPr>
      <w:b/>
    </w:rPr>
  </w:style>
  <w:style w:type="character" w:styleId="WW8NumSt28z2">
    <w:name w:val="WW8NumSt28z2"/>
    <w:qFormat/>
    <w:rPr/>
  </w:style>
  <w:style w:type="character" w:styleId="WW8NumSt29z0">
    <w:name w:val="WW8NumSt29z0"/>
    <w:qFormat/>
    <w:rPr>
      <w:rFonts w:ascii="Times New Roman" w:hAnsi="Times New Roman" w:cs="Times New Roman"/>
      <w:b/>
      <w:i w:val="false"/>
      <w:sz w:val="26"/>
      <w:u w:val="none"/>
    </w:rPr>
  </w:style>
  <w:style w:type="character" w:styleId="WW8NumSt29z5">
    <w:name w:val="WW8NumSt29z5"/>
    <w:qFormat/>
    <w:rPr>
      <w:rFonts w:ascii="Times New Roman" w:hAnsi="Times New Roman" w:cs="Times New Roman"/>
      <w:u w:val="none"/>
    </w:rPr>
  </w:style>
  <w:style w:type="character" w:styleId="DefaultParagraphFont">
    <w:name w:val="Default Paragraph Font"/>
    <w:qFormat/>
    <w:rPr/>
  </w:style>
  <w:style w:type="character" w:styleId="Strong">
    <w:name w:val="Strong"/>
    <w:basedOn w:val="DefaultParagraphFont"/>
    <w:qFormat/>
    <w:rPr>
      <w:b/>
    </w:rPr>
  </w:style>
  <w:style w:type="character" w:styleId="PageNumber">
    <w:name w:val="page number"/>
    <w:basedOn w:val="DefaultParagraphFont"/>
    <w:rPr/>
  </w:style>
  <w:style w:type="character" w:styleId="Party">
    <w:name w:val="Party"/>
    <w:basedOn w:val="DefaultParagraphFont"/>
    <w:qFormat/>
    <w:rPr/>
  </w:style>
  <w:style w:type="character" w:styleId="LineNumber">
    <w:name w:val="line number"/>
    <w:basedOn w:val="DefaultParagraphFont"/>
    <w:rPr/>
  </w:style>
  <w:style w:type="character" w:styleId="CaseNo">
    <w:name w:val="Case No."/>
    <w:basedOn w:val="DefaultParagraphFont"/>
    <w:qFormat/>
    <w:rPr/>
  </w:style>
  <w:style w:type="character" w:styleId="DocumentTitle">
    <w:name w:val="Document Title"/>
    <w:basedOn w:val="DefaultParagraphFont"/>
    <w:qFormat/>
    <w:rPr/>
  </w:style>
  <w:style w:type="character" w:styleId="PartyDesignation">
    <w:name w:val="Party Designation"/>
    <w:basedOn w:val="DefaultParagraph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BodyText2"/>
    <w:pPr>
      <w:spacing w:lineRule="exact" w:line="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BodyText"/>
    <w:pPr/>
    <w:rPr/>
  </w:style>
  <w:style w:type="paragraph" w:styleId="TOC1">
    <w:name w:val="toc 1"/>
    <w:basedOn w:val="BodyText"/>
    <w:next w:val="Normal"/>
    <w:pPr>
      <w:tabs>
        <w:tab w:val="left" w:pos="720" w:leader="none"/>
        <w:tab w:val="right" w:pos="9710" w:leader="dot"/>
      </w:tabs>
      <w:spacing w:before="235" w:after="0"/>
      <w:ind w:hanging="720" w:start="720" w:end="1440"/>
    </w:pPr>
    <w:rPr>
      <w:lang w:val="en-CA" w:eastAsia="en-CA"/>
    </w:rPr>
  </w:style>
  <w:style w:type="paragraph" w:styleId="TOC2">
    <w:name w:val="toc 2"/>
    <w:basedOn w:val="TOC1"/>
    <w:pPr>
      <w:ind w:hanging="720" w:start="1440" w:end="1440"/>
    </w:pPr>
    <w:rPr/>
  </w:style>
  <w:style w:type="paragraph" w:styleId="TOC3">
    <w:name w:val="toc 3"/>
    <w:basedOn w:val="TOC1"/>
    <w:pPr>
      <w:tabs>
        <w:tab w:val="left" w:pos="720" w:leader="none"/>
        <w:tab w:val="left" w:pos="1440" w:leader="none"/>
        <w:tab w:val="right" w:pos="9710" w:leader="dot"/>
      </w:tabs>
      <w:ind w:hanging="720" w:start="2160" w:end="1440"/>
    </w:pPr>
    <w:rPr/>
  </w:style>
  <w:style w:type="paragraph" w:styleId="TOC4">
    <w:name w:val="toc 4"/>
    <w:basedOn w:val="TOC1"/>
    <w:pPr>
      <w:tabs>
        <w:tab w:val="left" w:pos="720" w:leader="none"/>
        <w:tab w:val="left" w:pos="1440" w:leader="none"/>
        <w:tab w:val="right" w:pos="9710" w:leader="dot"/>
      </w:tabs>
      <w:ind w:hanging="720" w:start="2880" w:end="1440"/>
    </w:pPr>
    <w:rPr/>
  </w:style>
  <w:style w:type="paragraph" w:styleId="TOC5">
    <w:name w:val="toc 5"/>
    <w:basedOn w:val="TOC1"/>
    <w:pPr>
      <w:tabs>
        <w:tab w:val="left" w:pos="720" w:leader="none"/>
        <w:tab w:val="left" w:pos="1440" w:leader="none"/>
        <w:tab w:val="right" w:pos="9710" w:leader="dot"/>
      </w:tabs>
      <w:ind w:hanging="720" w:start="3600" w:end="1440"/>
    </w:pPr>
    <w:rPr/>
  </w:style>
  <w:style w:type="paragraph" w:styleId="TOC6">
    <w:name w:val="toc 6"/>
    <w:basedOn w:val="Normal"/>
    <w:next w:val="Normal"/>
    <w:pPr>
      <w:ind w:hanging="0" w:start="900" w:end="0"/>
    </w:pPr>
    <w:rPr/>
  </w:style>
  <w:style w:type="paragraph" w:styleId="TOC7">
    <w:name w:val="toc 7"/>
    <w:basedOn w:val="Normal"/>
    <w:next w:val="Normal"/>
    <w:pPr>
      <w:ind w:hanging="0" w:start="1080" w:end="0"/>
    </w:pPr>
    <w:rPr/>
  </w:style>
  <w:style w:type="paragraph" w:styleId="TOC8">
    <w:name w:val="toc 8"/>
    <w:basedOn w:val="Normal"/>
    <w:next w:val="Normal"/>
    <w:pPr>
      <w:ind w:hanging="0" w:start="1260" w:end="0"/>
    </w:pPr>
    <w:rPr/>
  </w:style>
  <w:style w:type="paragraph" w:styleId="TOC9">
    <w:name w:val="toc 9"/>
    <w:basedOn w:val="Normal"/>
    <w:next w:val="Normal"/>
    <w:pPr>
      <w:ind w:hanging="0" w:start="1440" w:end="0"/>
    </w:pPr>
    <w:rPr/>
  </w:style>
  <w:style w:type="paragraph" w:styleId="TOAHeading">
    <w:name w:val="TOA Heading"/>
    <w:basedOn w:val="Normal"/>
    <w:next w:val="TableofAuthorities"/>
    <w:qFormat/>
    <w:pPr>
      <w:widowControl w:val="false"/>
      <w:spacing w:lineRule="exact" w:line="235" w:before="0" w:after="235"/>
    </w:pPr>
    <w:rPr>
      <w:u w:val="single"/>
    </w:rPr>
  </w:style>
  <w:style w:type="paragraph" w:styleId="TableofAuthorities">
    <w:name w:val="Table of Authorities"/>
    <w:basedOn w:val="BodyText"/>
    <w:qFormat/>
    <w:pPr>
      <w:spacing w:before="0" w:after="235"/>
      <w:ind w:hanging="360" w:start="720" w:end="1440"/>
      <w:jc w:val="start"/>
    </w:pPr>
    <w:rPr/>
  </w:style>
  <w:style w:type="paragraph" w:styleId="Discovery1">
    <w:name w:val="Discovery1"/>
    <w:basedOn w:val="Normal"/>
    <w:next w:val="BodyText2"/>
    <w:qFormat/>
    <w:pPr>
      <w:keepNext w:val="true"/>
      <w:numPr>
        <w:ilvl w:val="0"/>
        <w:numId w:val="2"/>
      </w:numPr>
    </w:pPr>
    <w:rPr>
      <w:b/>
    </w:rPr>
  </w:style>
  <w:style w:type="paragraph" w:styleId="Discovery2">
    <w:name w:val="Discovery2"/>
    <w:basedOn w:val="Normal"/>
    <w:next w:val="BodyText2"/>
    <w:qFormat/>
    <w:pPr>
      <w:keepNext w:val="true"/>
      <w:numPr>
        <w:ilvl w:val="0"/>
        <w:numId w:val="2"/>
      </w:numPr>
    </w:pPr>
    <w:rPr>
      <w:b/>
    </w:rPr>
  </w:style>
  <w:style w:type="paragraph" w:styleId="FootnoteText">
    <w:name w:val="footnote text"/>
    <w:basedOn w:val="BodyText"/>
    <w:pPr>
      <w:ind w:hanging="360" w:start="360" w:end="0"/>
    </w:pPr>
    <w:rPr/>
  </w:style>
  <w:style w:type="paragraph" w:styleId="BodyTextIndent">
    <w:name w:val="Body Text Indent"/>
    <w:basedOn w:val="Normal"/>
    <w:pPr>
      <w:widowControl/>
      <w:spacing w:lineRule="exact" w:line="235"/>
      <w:ind w:hanging="0" w:start="1440" w:end="0"/>
      <w:jc w:val="both"/>
    </w:pPr>
    <w:rPr/>
  </w:style>
  <w:style w:type="paragraph" w:styleId="Court">
    <w:name w:val="Court"/>
    <w:basedOn w:val="Normal"/>
    <w:next w:val="Venue"/>
    <w:qFormat/>
    <w:pPr>
      <w:jc w:val="center"/>
    </w:pPr>
    <w:rPr>
      <w:caps/>
    </w:rPr>
  </w:style>
  <w:style w:type="paragraph" w:styleId="Venue">
    <w:name w:val="Venue"/>
    <w:basedOn w:val="Court"/>
    <w:qFormat/>
    <w:pPr/>
    <w:rPr/>
  </w:style>
  <w:style w:type="paragraph" w:styleId="BodyTextIndent2">
    <w:name w:val="Body Text Indent 2"/>
    <w:basedOn w:val="Normal"/>
    <w:qFormat/>
    <w:pPr>
      <w:spacing w:lineRule="auto" w:line="480" w:before="0" w:after="120"/>
      <w:ind w:hanging="0" w:start="360" w:end="0"/>
    </w:pPr>
    <w:rPr/>
  </w:style>
  <w:style w:type="paragraph" w:styleId="CaptionDivider">
    <w:name w:val="Caption Divider"/>
    <w:basedOn w:val="Normal"/>
    <w:next w:val="BodyText"/>
    <w:qFormat/>
    <w:pPr>
      <w:pBdr>
        <w:bottom w:val="single" w:sz="4" w:space="0" w:color="000000"/>
      </w:pBdr>
      <w:spacing w:lineRule="exact" w:line="240"/>
    </w:pPr>
    <w:rPr/>
  </w:style>
  <w:style w:type="paragraph" w:styleId="BlockText">
    <w:name w:val="Block Text"/>
    <w:basedOn w:val="Normal"/>
    <w:qFormat/>
    <w:pPr>
      <w:spacing w:before="0" w:after="120"/>
      <w:ind w:hanging="0" w:start="1440" w:end="1440"/>
    </w:pPr>
    <w:rPr/>
  </w:style>
  <w:style w:type="paragraph" w:styleId="SignatureBlock1">
    <w:name w:val="Signature Block 1"/>
    <w:basedOn w:val="BodyText"/>
    <w:next w:val="SignatureBlock2"/>
    <w:qFormat/>
    <w:pPr>
      <w:ind w:hanging="5040" w:start="5040" w:end="0"/>
    </w:pPr>
    <w:rPr/>
  </w:style>
  <w:style w:type="paragraph" w:styleId="SignatureBlock2">
    <w:name w:val="Signature Block 2"/>
    <w:basedOn w:val="BodyText"/>
    <w:next w:val="SignatureBlock3"/>
    <w:qFormat/>
    <w:pPr>
      <w:tabs>
        <w:tab w:val="clear" w:pos="720"/>
        <w:tab w:val="right" w:pos="9893" w:leader="underscore"/>
      </w:tabs>
      <w:spacing w:before="960" w:after="0"/>
      <w:ind w:hanging="0" w:start="5040" w:end="0"/>
    </w:pPr>
    <w:rPr/>
  </w:style>
  <w:style w:type="paragraph" w:styleId="SignatureBlock3">
    <w:name w:val="Signature Block 3"/>
    <w:basedOn w:val="BodyText"/>
    <w:qFormat/>
    <w:pPr>
      <w:ind w:hanging="0" w:start="5760" w:end="0"/>
    </w:pPr>
    <w:rPr/>
  </w:style>
  <w:style w:type="paragraph" w:styleId="ListNumber">
    <w:name w:val="List Number"/>
    <w:basedOn w:val="Normal"/>
    <w:qFormat/>
    <w:pPr>
      <w:numPr>
        <w:ilvl w:val="0"/>
        <w:numId w:val="3"/>
      </w:numPr>
    </w:pPr>
    <w:rPr>
      <w:rFonts w:ascii="Times New Roman" w:hAnsi="Times New Roman" w:cs="Times New Roman"/>
    </w:rPr>
  </w:style>
  <w:style w:type="paragraph" w:styleId="ListNumber2">
    <w:name w:val="List Number 2"/>
    <w:basedOn w:val="Normal"/>
    <w:qFormat/>
    <w:pPr>
      <w:numPr>
        <w:ilvl w:val="0"/>
        <w:numId w:val="3"/>
      </w:numPr>
    </w:pPr>
    <w:rPr>
      <w:rFonts w:ascii="Times New Roman" w:hAnsi="Times New Roman" w:cs="Times New Roman"/>
    </w:rPr>
  </w:style>
  <w:style w:type="paragraph" w:styleId="ListNumber3">
    <w:name w:val="List Number 3"/>
    <w:basedOn w:val="Normal"/>
    <w:qFormat/>
    <w:pPr>
      <w:numPr>
        <w:ilvl w:val="0"/>
        <w:numId w:val="3"/>
      </w:numPr>
    </w:pPr>
    <w:rPr>
      <w:rFonts w:ascii="Times New Roman" w:hAnsi="Times New Roman" w:cs="Times New Roman"/>
    </w:rPr>
  </w:style>
  <w:style w:type="paragraph" w:styleId="LineNumbering">
    <w:name w:val="Line Numbering"/>
    <w:basedOn w:val="Normal"/>
    <w:qFormat/>
    <w:pPr>
      <w:jc w:val="end"/>
    </w:pPr>
    <w:rPr/>
  </w:style>
  <w:style w:type="paragraph" w:styleId="BodyText3">
    <w:name w:val="Body Text 3"/>
    <w:basedOn w:val="Normal"/>
    <w:qFormat/>
    <w:pPr>
      <w:spacing w:lineRule="auto" w:line="240"/>
      <w:jc w:val="center"/>
    </w:pPr>
    <w:rPr>
      <w:rFonts w:ascii="Times New Roman" w:hAnsi="Times New Roman" w:cs="Times New Roman"/>
      <w:caps/>
      <w:sz w:val="10"/>
    </w:rPr>
  </w:style>
  <w:style w:type="paragraph" w:styleId="TOATitle">
    <w:name w:val="TOA Title"/>
    <w:basedOn w:val="BodyText2"/>
    <w:next w:val="BodyText2"/>
    <w:qFormat/>
    <w:pPr>
      <w:jc w:val="center"/>
    </w:pPr>
    <w:rPr>
      <w:b/>
    </w:rPr>
  </w:style>
  <w:style w:type="paragraph" w:styleId="TOCTitle">
    <w:name w:val="TOC Title"/>
    <w:basedOn w:val="BodyText2"/>
    <w:next w:val="BodyText2"/>
    <w:qFormat/>
    <w:pPr>
      <w:spacing w:lineRule="exact" w:line="235"/>
      <w:ind w:hanging="0" w:start="0" w:end="0"/>
      <w:jc w:val="center"/>
    </w:pPr>
    <w:rPr>
      <w:b/>
    </w:rPr>
  </w:style>
  <w:style w:type="paragraph" w:styleId="AbbreviatedTitle">
    <w:name w:val="Abbreviated Title"/>
    <w:basedOn w:val="Footer"/>
    <w:qFormat/>
    <w:pPr>
      <w:pBdr>
        <w:top w:val="single" w:sz="8" w:space="1" w:color="000000"/>
      </w:pBdr>
      <w:jc w:val="center"/>
    </w:pPr>
    <w:rPr>
      <w:sz w:val="18"/>
    </w:rPr>
  </w:style>
  <w:style w:type="paragraph" w:styleId="FileNumber">
    <w:name w:val="File Number"/>
    <w:qFormat/>
    <w:pPr>
      <w:widowControl/>
      <w:bidi w:val="0"/>
    </w:pPr>
    <w:rPr>
      <w:rFonts w:ascii="Arial" w:hAnsi="Arial" w:eastAsia="Times New Roman" w:cs="Arial"/>
      <w:color w:val="auto"/>
      <w:sz w:val="12"/>
      <w:szCs w:val="20"/>
      <w:lang w:val="en-US" w:eastAsia="en-CA" w:bidi="ar-SA"/>
    </w:rPr>
  </w:style>
  <w:style w:type="paragraph" w:styleId="SmallFirmInfo2">
    <w:name w:val="SmallFirmInfo2"/>
    <w:basedOn w:val="Normal"/>
    <w:qFormat/>
    <w:pPr>
      <w:spacing w:lineRule="auto" w:line="240"/>
      <w:jc w:val="center"/>
    </w:pPr>
    <w:rPr>
      <w:rFonts w:ascii="EngraversGothic BT" w:hAnsi="EngraversGothic BT" w:cs="EngraversGothic BT"/>
      <w:caps/>
      <w:spacing w:val="10"/>
      <w:sz w:val="12"/>
    </w:rPr>
  </w:style>
  <w:style w:type="paragraph" w:styleId="SmallFirmInfo1">
    <w:name w:val="SmallFirmInfo1"/>
    <w:basedOn w:val="Normal"/>
    <w:qFormat/>
    <w:pPr>
      <w:spacing w:lineRule="auto" w:line="240"/>
      <w:jc w:val="center"/>
    </w:pPr>
    <w:rPr>
      <w:rFonts w:ascii="BernhardMod BT" w:hAnsi="BernhardMod BT" w:cs="BernhardMod BT"/>
      <w:b/>
      <w:smallCaps/>
      <w:spacing w:val="40"/>
      <w:sz w:val="20"/>
    </w:rPr>
  </w:style>
  <w:style w:type="paragraph" w:styleId="BodyTextIndent3">
    <w:name w:val="Body Text Indent 3"/>
    <w:basedOn w:val="Normal"/>
    <w:qFormat/>
    <w:pPr>
      <w:widowControl/>
      <w:ind w:firstLine="720" w:start="0" w:end="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Pleading</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2001-03-23T19:19:00Z</dcterms:created>
  <dc:creator>VEH</dc:creator>
  <dc:description/>
  <dc:language>en-CA</dc:language>
  <cp:lastModifiedBy>Edith L. Estrada</cp:lastModifiedBy>
  <cp:lastPrinted>2001-03-16T11:12:00Z</cp:lastPrinted>
  <dcterms:modified xsi:type="dcterms:W3CDTF">2001-03-23T19:19:00Z</dcterms:modified>
  <cp:revision>2</cp:revision>
  <dc:subject/>
  <dc:title>Pleading Caption</dc:title>
</cp:coreProperties>
</file>