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Crisis In California:  Problems and solutions</w:t>
      </w:r>
    </w:p>
    <w:p>
      <w:pPr>
        <w:pStyle w:val="Heading"/>
        <w:jc w:val="start"/>
        <w:rPr>
          <w:b w:val="false"/>
          <w:bCs w:val="false"/>
          <w:smallCaps/>
          <w:sz w:val="20"/>
        </w:rPr>
      </w:pPr>
      <w:r>
        <w:rPr>
          <w:b w:val="false"/>
          <w:bCs w:val="false"/>
          <w:smallCaps/>
          <w:sz w:val="20"/>
        </w:rPr>
      </w:r>
    </w:p>
    <w:p>
      <w:pPr>
        <w:pStyle w:val="Subtitle"/>
        <w:rPr>
          <w:b/>
          <w:bCs/>
          <w:i w:val="false"/>
          <w:i w:val="false"/>
          <w:iCs w:val="false"/>
          <w:sz w:val="20"/>
        </w:rPr>
      </w:pPr>
      <w:r>
        <w:rPr>
          <w:b/>
          <w:bCs/>
          <w:i w:val="false"/>
          <w:iCs w:val="false"/>
          <w:sz w:val="20"/>
        </w:rPr>
      </w:r>
    </w:p>
    <w:p>
      <w:pPr>
        <w:pStyle w:val="Subtitle"/>
        <w:jc w:val="both"/>
        <w:rPr>
          <w:b/>
          <w:bCs/>
          <w:i w:val="false"/>
          <w:i w:val="false"/>
          <w:iCs w:val="false"/>
        </w:rPr>
      </w:pPr>
      <w:r>
        <w:rPr>
          <w:b/>
          <w:bCs/>
          <w:i w:val="false"/>
          <w:iCs w:val="false"/>
        </w:rPr>
        <w:t>Overview</w:t>
      </w:r>
    </w:p>
    <w:p>
      <w:pPr>
        <w:pStyle w:val="Subtitle"/>
        <w:numPr>
          <w:ilvl w:val="0"/>
          <w:numId w:val="2"/>
        </w:numPr>
        <w:tabs>
          <w:tab w:val="clear" w:pos="720"/>
        </w:tabs>
        <w:rPr>
          <w:i w:val="false"/>
          <w:i w:val="false"/>
          <w:iCs w:val="false"/>
        </w:rPr>
      </w:pPr>
      <w:r>
        <w:rPr>
          <w:i w:val="false"/>
          <w:iCs w:val="false"/>
        </w:rPr>
        <w:t xml:space="preserve">The California situation is remarkably simple in both its origin and its ultimate resolution.  </w:t>
      </w:r>
    </w:p>
    <w:p>
      <w:pPr>
        <w:pStyle w:val="Subtitle"/>
        <w:numPr>
          <w:ilvl w:val="0"/>
          <w:numId w:val="8"/>
        </w:numPr>
        <w:tabs>
          <w:tab w:val="clear" w:pos="720"/>
        </w:tabs>
        <w:rPr>
          <w:i w:val="false"/>
          <w:i w:val="false"/>
          <w:iCs w:val="false"/>
        </w:rPr>
      </w:pPr>
      <w:r>
        <w:rPr>
          <w:i w:val="false"/>
          <w:iCs w:val="false"/>
        </w:rPr>
        <w:t>At bottom, the problems in California are about supply and demand:</w:t>
      </w:r>
    </w:p>
    <w:p>
      <w:pPr>
        <w:pStyle w:val="Subtitle"/>
        <w:numPr>
          <w:ilvl w:val="0"/>
          <w:numId w:val="10"/>
        </w:numPr>
        <w:tabs>
          <w:tab w:val="clear" w:pos="720"/>
        </w:tabs>
        <w:rPr>
          <w:i w:val="false"/>
          <w:i w:val="false"/>
          <w:iCs w:val="false"/>
        </w:rPr>
      </w:pPr>
      <w:r>
        <w:rPr>
          <w:i w:val="false"/>
          <w:iCs w:val="false"/>
        </w:rPr>
        <w:t>Booming economic growth in the state increased demand significantly.</w:t>
      </w:r>
    </w:p>
    <w:p>
      <w:pPr>
        <w:pStyle w:val="Subtitle"/>
        <w:numPr>
          <w:ilvl w:val="0"/>
          <w:numId w:val="10"/>
        </w:numPr>
        <w:tabs>
          <w:tab w:val="clear" w:pos="720"/>
        </w:tabs>
        <w:rPr>
          <w:i w:val="false"/>
          <w:i w:val="false"/>
          <w:iCs w:val="false"/>
        </w:rPr>
      </w:pPr>
      <w:r>
        <w:rPr>
          <w:i w:val="false"/>
          <w:iCs w:val="false"/>
        </w:rPr>
        <w:t xml:space="preserve">Simultaneously, California’s long-standing regulatory barriers to the siting of new generation facilities prevented suppliers from bringing on additional supply.  (California’s failure to site power plants has increased the problem.  Increased global demand for turbines has created a serious backlog. As a result, it will be exceedingly more difficult to increase capacity significantly in the near term.) </w:t>
      </w:r>
    </w:p>
    <w:p>
      <w:pPr>
        <w:pStyle w:val="Subtitle"/>
        <w:numPr>
          <w:ilvl w:val="0"/>
          <w:numId w:val="10"/>
        </w:numPr>
        <w:tabs>
          <w:tab w:val="clear" w:pos="720"/>
        </w:tabs>
        <w:rPr>
          <w:i w:val="false"/>
          <w:i w:val="false"/>
          <w:iCs w:val="false"/>
        </w:rPr>
      </w:pPr>
      <w:r>
        <w:rPr>
          <w:i w:val="false"/>
          <w:iCs w:val="false"/>
        </w:rPr>
        <w:t xml:space="preserve">The result was, and remains, predictable—higher wholesale prices.  Dramatically higher prices.  </w:t>
      </w:r>
    </w:p>
    <w:p>
      <w:pPr>
        <w:pStyle w:val="Subtitle"/>
        <w:numPr>
          <w:ilvl w:val="0"/>
          <w:numId w:val="10"/>
        </w:numPr>
        <w:tabs>
          <w:tab w:val="clear" w:pos="720"/>
        </w:tabs>
        <w:rPr>
          <w:i w:val="false"/>
          <w:i w:val="false"/>
          <w:iCs w:val="false"/>
        </w:rPr>
      </w:pPr>
      <w:r>
        <w:rPr>
          <w:i w:val="false"/>
          <w:iCs w:val="false"/>
        </w:rPr>
        <w:t>Compounding the problem, California kept rates capped and regulated, despite the supply shortages and rising wholesale prices.  As a result:</w:t>
      </w:r>
    </w:p>
    <w:p>
      <w:pPr>
        <w:pStyle w:val="Subtitle"/>
        <w:numPr>
          <w:ilvl w:val="1"/>
          <w:numId w:val="6"/>
        </w:numPr>
        <w:tabs>
          <w:tab w:val="clear" w:pos="720"/>
        </w:tabs>
        <w:ind w:hanging="360" w:start="720" w:end="0"/>
        <w:rPr>
          <w:i w:val="false"/>
          <w:i w:val="false"/>
          <w:iCs w:val="false"/>
        </w:rPr>
      </w:pPr>
      <w:r>
        <w:rPr>
          <w:i w:val="false"/>
          <w:iCs w:val="false"/>
        </w:rPr>
        <w:t>Customers had no incentive and thus did not respond to the higher prices by reducing demand, and,</w:t>
      </w:r>
    </w:p>
    <w:p>
      <w:pPr>
        <w:pStyle w:val="Subtitle"/>
        <w:numPr>
          <w:ilvl w:val="1"/>
          <w:numId w:val="6"/>
        </w:numPr>
        <w:tabs>
          <w:tab w:val="clear" w:pos="720"/>
        </w:tabs>
        <w:ind w:hanging="360" w:start="720" w:end="0"/>
        <w:rPr>
          <w:i w:val="false"/>
          <w:i w:val="false"/>
          <w:iCs w:val="false"/>
        </w:rPr>
      </w:pPr>
      <w:r>
        <w:rPr>
          <w:i w:val="false"/>
          <w:iCs w:val="false"/>
        </w:rPr>
        <w:t xml:space="preserve">Utilities were paying high wholesale prices without the ability to pass them through, leaving them with massive under-collections.  (The under-collections are partially offset by the fact that in the tight supply environment, the utilities’ generation assets have made a great deal of money in the wholesale market and have become extremely valuable.)  </w:t>
      </w:r>
    </w:p>
    <w:p>
      <w:pPr>
        <w:pStyle w:val="Subtitle"/>
        <w:numPr>
          <w:ilvl w:val="2"/>
          <w:numId w:val="10"/>
        </w:numPr>
        <w:tabs>
          <w:tab w:val="clear" w:pos="720"/>
        </w:tabs>
        <w:ind w:hanging="360" w:start="360" w:end="0"/>
        <w:rPr>
          <w:i w:val="false"/>
          <w:i w:val="false"/>
          <w:iCs w:val="false"/>
        </w:rPr>
      </w:pPr>
      <w:r>
        <w:rPr>
          <w:i w:val="false"/>
          <w:iCs w:val="false"/>
        </w:rPr>
        <w:t xml:space="preserve">A final factor played a key role: Utilities failed to hedge their exposure to commodity price fluctuations.  </w:t>
      </w:r>
    </w:p>
    <w:p>
      <w:pPr>
        <w:pStyle w:val="Subtitle"/>
        <w:numPr>
          <w:ilvl w:val="0"/>
          <w:numId w:val="16"/>
        </w:numPr>
        <w:tabs>
          <w:tab w:val="clear" w:pos="720"/>
        </w:tabs>
        <w:ind w:hanging="360" w:start="720" w:end="0"/>
        <w:rPr>
          <w:i w:val="false"/>
          <w:i w:val="false"/>
          <w:iCs w:val="false"/>
        </w:rPr>
      </w:pPr>
      <w:r>
        <w:rPr>
          <w:i w:val="false"/>
          <w:iCs w:val="false"/>
        </w:rPr>
        <w:t xml:space="preserve">Electricity is the most volatile commodity on the planet from a pricing standpoint, far more so than interest rates, currencies, or the stock market.  </w:t>
      </w:r>
    </w:p>
    <w:p>
      <w:pPr>
        <w:pStyle w:val="Subtitle"/>
        <w:numPr>
          <w:ilvl w:val="0"/>
          <w:numId w:val="16"/>
        </w:numPr>
        <w:tabs>
          <w:tab w:val="clear" w:pos="720"/>
        </w:tabs>
        <w:ind w:hanging="360" w:start="720" w:end="0"/>
        <w:rPr>
          <w:i w:val="false"/>
          <w:i w:val="false"/>
          <w:iCs w:val="false"/>
        </w:rPr>
      </w:pPr>
      <w:r>
        <w:rPr>
          <w:i w:val="false"/>
          <w:iCs w:val="false"/>
        </w:rPr>
        <w:t xml:space="preserve">In California the investor owned utilities purchased almost exclusively from the spot market.  </w:t>
      </w:r>
    </w:p>
    <w:p>
      <w:pPr>
        <w:pStyle w:val="Subtitle"/>
        <w:numPr>
          <w:ilvl w:val="0"/>
          <w:numId w:val="16"/>
        </w:numPr>
        <w:tabs>
          <w:tab w:val="clear" w:pos="720"/>
        </w:tabs>
        <w:ind w:hanging="360" w:start="720" w:end="0"/>
        <w:rPr>
          <w:i w:val="false"/>
          <w:i w:val="false"/>
          <w:iCs w:val="false"/>
        </w:rPr>
      </w:pPr>
      <w:r>
        <w:rPr>
          <w:i w:val="false"/>
          <w:iCs w:val="false"/>
        </w:rPr>
        <w:t xml:space="preserve">When spot prices went up, the utilities’ failure to hedge meant that their cost of power went up in lock step. </w:t>
      </w:r>
    </w:p>
    <w:p>
      <w:pPr>
        <w:pStyle w:val="Subtitle"/>
        <w:numPr>
          <w:ilvl w:val="0"/>
          <w:numId w:val="16"/>
        </w:numPr>
        <w:tabs>
          <w:tab w:val="clear" w:pos="720"/>
        </w:tabs>
        <w:ind w:hanging="360" w:start="720" w:end="0"/>
        <w:rPr>
          <w:i w:val="false"/>
          <w:i w:val="false"/>
          <w:iCs w:val="false"/>
        </w:rPr>
      </w:pPr>
      <w:r>
        <w:rPr>
          <w:i w:val="false"/>
          <w:iCs w:val="false"/>
        </w:rPr>
        <w:t xml:space="preserve">Most prudent businesses would procure under a more balanced approach, with most of the supply locked in under longer-term agreements.  </w:t>
      </w:r>
    </w:p>
    <w:p>
      <w:pPr>
        <w:pStyle w:val="Subtitle"/>
        <w:numPr>
          <w:ilvl w:val="0"/>
          <w:numId w:val="16"/>
        </w:numPr>
        <w:tabs>
          <w:tab w:val="clear" w:pos="720"/>
        </w:tabs>
        <w:ind w:hanging="360" w:start="720" w:end="0"/>
        <w:rPr>
          <w:i w:val="false"/>
          <w:i w:val="false"/>
          <w:iCs w:val="false"/>
        </w:rPr>
      </w:pPr>
      <w:r>
        <w:rPr>
          <w:i w:val="false"/>
          <w:iCs w:val="false"/>
        </w:rPr>
        <w:t xml:space="preserve">In other markets, dramatic rises in spot prices would be of interest to market participants (particularly those who are long or short), but they would have little impact on customers, because most of their supply would not be linked to this market.  </w:t>
      </w:r>
    </w:p>
    <w:p>
      <w:pPr>
        <w:pStyle w:val="Subtitle"/>
        <w:numPr>
          <w:ilvl w:val="0"/>
          <w:numId w:val="16"/>
        </w:numPr>
        <w:tabs>
          <w:tab w:val="clear" w:pos="720"/>
        </w:tabs>
        <w:ind w:hanging="360" w:start="720" w:end="0"/>
        <w:rPr>
          <w:i w:val="false"/>
          <w:i w:val="false"/>
          <w:iCs w:val="false"/>
        </w:rPr>
      </w:pPr>
      <w:r>
        <w:rPr>
          <w:i w:val="false"/>
          <w:iCs w:val="false"/>
        </w:rPr>
        <w:t>In California, the utilities convinced policy makers to make the spot market the core of the restructured market, at the expense of long-term contracts and price stability.  That decision represents a phenomenal mistake that has cost California’s utilities (and ultimately the state’s consumers) billions of dollars.  It has created 1) a crisis situation that could have easily been avoided, and 2) countless problems that local, state and federal policy makers are spending scarce time and resources trying to solve.</w:t>
      </w:r>
    </w:p>
    <w:p>
      <w:pPr>
        <w:pStyle w:val="Subtitle"/>
        <w:numPr>
          <w:ilvl w:val="0"/>
          <w:numId w:val="7"/>
        </w:numPr>
        <w:rPr>
          <w:i w:val="false"/>
          <w:i w:val="false"/>
          <w:iCs w:val="false"/>
        </w:rPr>
      </w:pPr>
      <w:r>
        <w:rPr>
          <w:i w:val="false"/>
          <w:iCs w:val="false"/>
        </w:rPr>
        <w:t>In California, the failure to hedge was ultimately due to a number of factors:</w:t>
      </w:r>
    </w:p>
    <w:p>
      <w:pPr>
        <w:pStyle w:val="Subtitle"/>
        <w:numPr>
          <w:ilvl w:val="0"/>
          <w:numId w:val="11"/>
        </w:numPr>
        <w:tabs>
          <w:tab w:val="clear" w:pos="720"/>
        </w:tabs>
        <w:ind w:hanging="360" w:start="720" w:end="0"/>
        <w:rPr>
          <w:i w:val="false"/>
          <w:i w:val="false"/>
          <w:iCs w:val="false"/>
        </w:rPr>
      </w:pPr>
      <w:r>
        <w:rPr>
          <w:i w:val="false"/>
          <w:iCs w:val="false"/>
        </w:rPr>
        <w:t>A serious lack of understanding about how and why commodity markets work.</w:t>
      </w:r>
    </w:p>
    <w:p>
      <w:pPr>
        <w:pStyle w:val="Subtitle"/>
        <w:numPr>
          <w:ilvl w:val="0"/>
          <w:numId w:val="11"/>
        </w:numPr>
        <w:tabs>
          <w:tab w:val="clear" w:pos="720"/>
        </w:tabs>
        <w:ind w:hanging="360" w:start="720" w:end="0"/>
        <w:rPr>
          <w:i w:val="false"/>
          <w:i w:val="false"/>
          <w:iCs w:val="false"/>
        </w:rPr>
      </w:pPr>
      <w:r>
        <w:rPr>
          <w:i w:val="false"/>
          <w:iCs w:val="false"/>
        </w:rPr>
        <w:t>Legislation and regulations that either forced or strongly encouraged utilities to buy all of its supplies from, and sell all of its power into, the spot market.</w:t>
      </w:r>
    </w:p>
    <w:p>
      <w:pPr>
        <w:pStyle w:val="Subtitle"/>
        <w:numPr>
          <w:ilvl w:val="0"/>
          <w:numId w:val="11"/>
        </w:numPr>
        <w:tabs>
          <w:tab w:val="clear" w:pos="720"/>
        </w:tabs>
        <w:ind w:hanging="360" w:start="720" w:end="0"/>
        <w:rPr>
          <w:i w:val="false"/>
          <w:i w:val="false"/>
          <w:iCs w:val="false"/>
        </w:rPr>
      </w:pPr>
      <w:r>
        <w:rPr>
          <w:i w:val="false"/>
          <w:iCs w:val="false"/>
        </w:rPr>
        <w:t>Utility reluctance to purchase power for the longer-term for fear that regulators would continually second-guess such purchases and deny cost recovery.</w:t>
      </w:r>
    </w:p>
    <w:p>
      <w:pPr>
        <w:pStyle w:val="Subtitle"/>
        <w:numPr>
          <w:ilvl w:val="0"/>
          <w:numId w:val="4"/>
        </w:numPr>
        <w:tabs>
          <w:tab w:val="clear" w:pos="720"/>
        </w:tabs>
        <w:ind w:hanging="360" w:start="360" w:end="0"/>
        <w:rPr>
          <w:i w:val="false"/>
          <w:i w:val="false"/>
          <w:iCs w:val="false"/>
        </w:rPr>
      </w:pPr>
      <w:r>
        <w:rPr>
          <w:i w:val="false"/>
          <w:iCs w:val="false"/>
        </w:rPr>
        <w:t>These factors conspired to push the utilities to the brink of bankruptcy.  The solutions are straightforward (more detail provided in attached document):</w:t>
      </w:r>
    </w:p>
    <w:p>
      <w:pPr>
        <w:pStyle w:val="Subtitle"/>
        <w:numPr>
          <w:ilvl w:val="0"/>
          <w:numId w:val="12"/>
        </w:numPr>
        <w:tabs>
          <w:tab w:val="clear" w:pos="720"/>
        </w:tabs>
        <w:ind w:hanging="360" w:start="720" w:end="0"/>
        <w:rPr>
          <w:i w:val="false"/>
          <w:i w:val="false"/>
          <w:iCs w:val="false"/>
        </w:rPr>
      </w:pPr>
      <w:r>
        <w:rPr>
          <w:i w:val="false"/>
          <w:iCs w:val="false"/>
        </w:rPr>
        <w:t>The utilities need immediate credit support to continue to buy power day-to-day and forward;</w:t>
      </w:r>
    </w:p>
    <w:p>
      <w:pPr>
        <w:pStyle w:val="Subtitle"/>
        <w:numPr>
          <w:ilvl w:val="0"/>
          <w:numId w:val="12"/>
        </w:numPr>
        <w:tabs>
          <w:tab w:val="clear" w:pos="720"/>
        </w:tabs>
        <w:ind w:hanging="360" w:start="720" w:end="0"/>
        <w:rPr>
          <w:i w:val="false"/>
          <w:i w:val="false"/>
          <w:iCs w:val="false"/>
        </w:rPr>
      </w:pPr>
      <w:r>
        <w:rPr>
          <w:i w:val="false"/>
          <w:iCs w:val="false"/>
        </w:rPr>
        <w:t>The utilities need to buy in forward markets so that they, and their customers, are less exposed to spot price volatility;</w:t>
      </w:r>
    </w:p>
    <w:p>
      <w:pPr>
        <w:pStyle w:val="Subtitle"/>
        <w:numPr>
          <w:ilvl w:val="0"/>
          <w:numId w:val="12"/>
        </w:numPr>
        <w:tabs>
          <w:tab w:val="clear" w:pos="720"/>
        </w:tabs>
        <w:ind w:hanging="360" w:start="720" w:end="0"/>
        <w:rPr>
          <w:i w:val="false"/>
          <w:i w:val="false"/>
          <w:iCs w:val="false"/>
        </w:rPr>
      </w:pPr>
      <w:r>
        <w:rPr>
          <w:i w:val="false"/>
          <w:iCs w:val="false"/>
        </w:rPr>
        <w:t>Supply needs to be increased (e.g., through expedited siting of new generation and transmission facilities); and</w:t>
      </w:r>
    </w:p>
    <w:p>
      <w:pPr>
        <w:pStyle w:val="Subtitle"/>
        <w:numPr>
          <w:ilvl w:val="0"/>
          <w:numId w:val="12"/>
        </w:numPr>
        <w:tabs>
          <w:tab w:val="clear" w:pos="720"/>
        </w:tabs>
        <w:ind w:hanging="360" w:start="720" w:end="0"/>
        <w:rPr>
          <w:i w:val="false"/>
          <w:i w:val="false"/>
          <w:iCs w:val="false"/>
        </w:rPr>
      </w:pPr>
      <w:r>
        <w:rPr>
          <w:i w:val="false"/>
          <w:iCs w:val="false"/>
        </w:rPr>
        <w:t>Demand needs to be reduced (e.g., utilities should pay as much for demand reductions as they do for power).</w:t>
      </w:r>
    </w:p>
    <w:p>
      <w:pPr>
        <w:pStyle w:val="Subtitle"/>
        <w:numPr>
          <w:ilvl w:val="0"/>
          <w:numId w:val="12"/>
        </w:numPr>
        <w:tabs>
          <w:tab w:val="clear" w:pos="720"/>
        </w:tabs>
        <w:ind w:hanging="360" w:start="720" w:end="0"/>
        <w:rPr>
          <w:i w:val="false"/>
          <w:i w:val="false"/>
          <w:iCs w:val="false"/>
        </w:rPr>
      </w:pPr>
      <w:r>
        <w:rPr>
          <w:i w:val="false"/>
          <w:iCs w:val="false"/>
        </w:rPr>
        <w:t>The utility needs to focus on its core competency—transportation—and outsource procurement of the commodity.</w:t>
      </w:r>
    </w:p>
    <w:p>
      <w:pPr>
        <w:pStyle w:val="Subtitle"/>
        <w:numPr>
          <w:ilvl w:val="1"/>
          <w:numId w:val="12"/>
        </w:numPr>
        <w:tabs>
          <w:tab w:val="clear" w:pos="720"/>
        </w:tabs>
        <w:ind w:hanging="360" w:start="360" w:end="0"/>
        <w:rPr>
          <w:i w:val="false"/>
          <w:i w:val="false"/>
          <w:iCs w:val="false"/>
        </w:rPr>
      </w:pPr>
      <w:r>
        <w:rPr>
          <w:i w:val="false"/>
          <w:iCs w:val="false"/>
        </w:rPr>
        <w:t>Just as important, any package devised during the current crisis in California must include measures designed to ensure that California ends up with a truly competitive environment. Any support for California utilities should be conditioned on the actual creation of a competitive market – which California failed to achieve the first time.</w:t>
      </w:r>
    </w:p>
    <w:p>
      <w:pPr>
        <w:pStyle w:val="Subtitle"/>
        <w:numPr>
          <w:ilvl w:val="1"/>
          <w:numId w:val="12"/>
        </w:numPr>
        <w:tabs>
          <w:tab w:val="clear" w:pos="720"/>
        </w:tabs>
        <w:ind w:hanging="360" w:start="360" w:end="0"/>
        <w:rPr>
          <w:i w:val="false"/>
          <w:i w:val="false"/>
          <w:iCs w:val="false"/>
        </w:rPr>
      </w:pPr>
      <w:r>
        <w:rPr>
          <w:i w:val="false"/>
          <w:iCs w:val="false"/>
        </w:rPr>
        <w:t>California justified its fatally flawed restructuring law on the grounds that the utilities needed “a transition” to survive the shift to competition, and once that transition ended, a truly de-regulated market would result.</w:t>
      </w:r>
    </w:p>
    <w:p>
      <w:pPr>
        <w:pStyle w:val="Subtitle"/>
        <w:numPr>
          <w:ilvl w:val="1"/>
          <w:numId w:val="12"/>
        </w:numPr>
        <w:tabs>
          <w:tab w:val="clear" w:pos="720"/>
        </w:tabs>
        <w:ind w:hanging="360" w:start="360" w:end="0"/>
        <w:rPr>
          <w:i w:val="false"/>
          <w:i w:val="false"/>
          <w:iCs w:val="false"/>
        </w:rPr>
      </w:pPr>
      <w:r>
        <w:rPr>
          <w:i w:val="false"/>
          <w:iCs w:val="false"/>
        </w:rPr>
        <w:t>But the transition never occurred.  Instead—as many predicted—the unworkable framework adopted by California has failed, and the utilities are calling for yet another transition.  Transitions only benefit the incumbents; consumers and the economy—as the California experience shows—pay a very heavy price.</w:t>
      </w:r>
    </w:p>
    <w:p>
      <w:pPr>
        <w:pStyle w:val="Subtitle"/>
        <w:numPr>
          <w:ilvl w:val="1"/>
          <w:numId w:val="16"/>
        </w:numPr>
        <w:tabs>
          <w:tab w:val="clear" w:pos="720"/>
        </w:tabs>
        <w:ind w:hanging="360" w:start="360" w:end="0"/>
        <w:rPr>
          <w:i w:val="false"/>
          <w:i w:val="false"/>
          <w:iCs w:val="false"/>
        </w:rPr>
      </w:pPr>
      <w:r>
        <w:rPr>
          <w:i w:val="false"/>
          <w:iCs w:val="false"/>
        </w:rPr>
        <w:t xml:space="preserve">Fundamentally, the California situation is very similar to the results of many other restructuring efforts around the world.  </w:t>
      </w:r>
    </w:p>
    <w:p>
      <w:pPr>
        <w:pStyle w:val="Subtitle"/>
        <w:numPr>
          <w:ilvl w:val="1"/>
          <w:numId w:val="16"/>
        </w:numPr>
        <w:tabs>
          <w:tab w:val="clear" w:pos="720"/>
        </w:tabs>
        <w:ind w:hanging="360" w:start="360" w:end="0"/>
        <w:rPr>
          <w:i w:val="false"/>
          <w:i w:val="false"/>
          <w:iCs w:val="false"/>
        </w:rPr>
      </w:pPr>
      <w:r>
        <w:rPr>
          <w:i w:val="false"/>
          <w:iCs w:val="false"/>
        </w:rPr>
        <w:t xml:space="preserve">The process begins with the economic argument that formerly wholly-regulated network industries can be opened to competition, that many segments of these industries are amenable to competitive market structures, and that significant savings and innovation will result from the introduction of competition. </w:t>
      </w:r>
    </w:p>
    <w:p>
      <w:pPr>
        <w:pStyle w:val="Subtitle"/>
        <w:numPr>
          <w:ilvl w:val="1"/>
          <w:numId w:val="16"/>
        </w:numPr>
        <w:tabs>
          <w:tab w:val="clear" w:pos="720"/>
        </w:tabs>
        <w:ind w:hanging="360" w:start="360" w:end="0"/>
        <w:rPr>
          <w:i w:val="false"/>
          <w:i w:val="false"/>
          <w:iCs w:val="false"/>
        </w:rPr>
      </w:pPr>
      <w:r>
        <w:rPr>
          <w:i w:val="false"/>
          <w:iCs w:val="false"/>
        </w:rPr>
        <w:t xml:space="preserve">Policy makers find this idea has merit and embrace it.  </w:t>
      </w:r>
    </w:p>
    <w:p>
      <w:pPr>
        <w:pStyle w:val="Subtitle"/>
        <w:numPr>
          <w:ilvl w:val="1"/>
          <w:numId w:val="16"/>
        </w:numPr>
        <w:tabs>
          <w:tab w:val="clear" w:pos="720"/>
        </w:tabs>
        <w:ind w:hanging="360" w:start="360" w:end="0"/>
        <w:rPr>
          <w:i w:val="false"/>
          <w:i w:val="false"/>
          <w:iCs w:val="false"/>
        </w:rPr>
      </w:pPr>
      <w:r>
        <w:rPr>
          <w:i w:val="false"/>
          <w:iCs w:val="false"/>
        </w:rPr>
        <w:t xml:space="preserve">Most of the problems, such as those experienced in California, occur when the sound economic theories behind deregulation get compromised and watered-down in the political arena.  </w:t>
      </w:r>
    </w:p>
    <w:p>
      <w:pPr>
        <w:pStyle w:val="Subtitle"/>
        <w:numPr>
          <w:ilvl w:val="1"/>
          <w:numId w:val="16"/>
        </w:numPr>
        <w:tabs>
          <w:tab w:val="clear" w:pos="720"/>
        </w:tabs>
        <w:ind w:hanging="360" w:start="360" w:end="0"/>
        <w:rPr>
          <w:i w:val="false"/>
          <w:i w:val="false"/>
          <w:iCs w:val="false"/>
        </w:rPr>
      </w:pPr>
      <w:r>
        <w:rPr>
          <w:i w:val="false"/>
          <w:iCs w:val="false"/>
        </w:rPr>
        <w:t xml:space="preserve">Invariably, policymakers choose (or are forced by political realities) to negotiate with the incumbent monopolies over the terms of deregulation.  </w:t>
      </w:r>
    </w:p>
    <w:p>
      <w:pPr>
        <w:pStyle w:val="Subtitle"/>
        <w:numPr>
          <w:ilvl w:val="1"/>
          <w:numId w:val="16"/>
        </w:numPr>
        <w:tabs>
          <w:tab w:val="clear" w:pos="720"/>
        </w:tabs>
        <w:ind w:hanging="360" w:start="360" w:end="0"/>
        <w:rPr>
          <w:i w:val="false"/>
          <w:i w:val="false"/>
          <w:iCs w:val="false"/>
        </w:rPr>
      </w:pPr>
      <w:r>
        <w:rPr>
          <w:i w:val="false"/>
          <w:iCs w:val="false"/>
        </w:rPr>
        <w:t xml:space="preserve">The result is a heavily compromised, at best partial, competitive structure.  </w:t>
      </w:r>
    </w:p>
    <w:p>
      <w:pPr>
        <w:pStyle w:val="Subtitle"/>
        <w:numPr>
          <w:ilvl w:val="1"/>
          <w:numId w:val="16"/>
        </w:numPr>
        <w:tabs>
          <w:tab w:val="clear" w:pos="720"/>
        </w:tabs>
        <w:ind w:hanging="360" w:start="360" w:end="0"/>
        <w:rPr>
          <w:i w:val="false"/>
          <w:i w:val="false"/>
          <w:iCs w:val="false"/>
        </w:rPr>
      </w:pPr>
      <w:r>
        <w:rPr>
          <w:i w:val="false"/>
          <w:iCs w:val="false"/>
        </w:rPr>
        <w:t>California is a case in point.  In California, the names changed (“PX,” “ISO,” “CTC,” etc.), but the faces, the regulatory structures, and the tendency to favor monopolies remained fully intact.</w:t>
      </w:r>
    </w:p>
    <w:p>
      <w:pPr>
        <w:pStyle w:val="Subtitle"/>
        <w:numPr>
          <w:ilvl w:val="1"/>
          <w:numId w:val="16"/>
        </w:numPr>
        <w:tabs>
          <w:tab w:val="clear" w:pos="720"/>
        </w:tabs>
        <w:ind w:hanging="360" w:start="360" w:end="0"/>
        <w:rPr>
          <w:i w:val="false"/>
          <w:i w:val="false"/>
          <w:iCs w:val="false"/>
        </w:rPr>
      </w:pPr>
      <w:r>
        <w:rPr>
          <w:i w:val="false"/>
          <w:iCs w:val="false"/>
        </w:rPr>
        <w:t>The incumbent utilities have been the winners; consumers have been the losers.</w:t>
      </w:r>
    </w:p>
    <w:p>
      <w:pPr>
        <w:pStyle w:val="Subtitle"/>
        <w:numPr>
          <w:ilvl w:val="0"/>
          <w:numId w:val="5"/>
        </w:numPr>
        <w:rPr/>
      </w:pPr>
      <w:r>
        <w:rPr>
          <w:i w:val="false"/>
          <w:iCs w:val="false"/>
        </w:rPr>
        <w:t xml:space="preserve">Instead of easing entry into the generation segment, California kept the barriers to buildling competing generation extremely high.  </w:t>
      </w:r>
      <w:r>
        <w:rPr/>
        <w:t xml:space="preserve">The result: supply cannot and will not keep pace with surges in demand until California truly reforms its power plant siting laws.  </w:t>
      </w:r>
      <w:r>
        <w:rPr>
          <w:i w:val="false"/>
          <w:iCs w:val="false"/>
        </w:rPr>
        <w:t>(Turbine backlogs will exacerbate the problem.)</w:t>
      </w:r>
    </w:p>
    <w:p>
      <w:pPr>
        <w:pStyle w:val="Subtitle"/>
        <w:numPr>
          <w:ilvl w:val="0"/>
          <w:numId w:val="5"/>
        </w:numPr>
        <w:rPr/>
      </w:pPr>
      <w:r>
        <w:rPr>
          <w:i w:val="false"/>
          <w:iCs w:val="false"/>
        </w:rPr>
        <w:t xml:space="preserve">Instead of putting customers in a position to choose competitive suppliers, California did everything possible to frustrate choice.  The authors of California’s restructuring law stated publicly that the law had “nothing to do with retail choice” and publicly discouraged consumers from switching altogether.  In addition, unpredictable “stranded cost charges” made business planning impossible, further frustrated consumer choice, and ultimately kept competitors out.  </w:t>
      </w:r>
      <w:r>
        <w:rPr/>
        <w:t>The result:  less than one percent of the state’s customers chose an alternative provider and the utilities find themselves scrambling to find ways to finance the power needed to provide service to the other 99%.</w:t>
      </w:r>
    </w:p>
    <w:p>
      <w:pPr>
        <w:pStyle w:val="Subtitle"/>
        <w:numPr>
          <w:ilvl w:val="0"/>
          <w:numId w:val="5"/>
        </w:numPr>
        <w:rPr/>
      </w:pPr>
      <w:r>
        <w:rPr>
          <w:i w:val="false"/>
          <w:iCs w:val="false"/>
        </w:rPr>
        <w:t>Instead of putting market prices in place, rates remain regulated. So when demand increased, market participants saw no price signal to moderate demand or add supply.</w:t>
      </w:r>
      <w:r>
        <w:rPr/>
        <w:t xml:space="preserve">  The result: prices climbed and the utilities face the threat of bankruptcy or consumers face the prospect of outrageous price levels brought on by a shortage that could easily have been avoided.  </w:t>
      </w:r>
    </w:p>
    <w:p>
      <w:pPr>
        <w:pStyle w:val="Subtitle"/>
        <w:numPr>
          <w:ilvl w:val="0"/>
          <w:numId w:val="5"/>
        </w:numPr>
        <w:rPr/>
      </w:pPr>
      <w:r>
        <w:rPr>
          <w:i w:val="false"/>
          <w:iCs w:val="false"/>
        </w:rPr>
        <w:t xml:space="preserve">Instead of opening up the market structure to allow a variety of products – of short, medium and long term – California legislated total reliance on the spot market.  </w:t>
      </w:r>
      <w:r>
        <w:rPr/>
        <w:t>The result: California put the entire state on an adjustable rate mortgage in the most volatile “interest rate” climate imaginable.</w:t>
      </w:r>
    </w:p>
    <w:p>
      <w:pPr>
        <w:pStyle w:val="Subtitle"/>
        <w:numPr>
          <w:ilvl w:val="0"/>
          <w:numId w:val="14"/>
        </w:numPr>
        <w:tabs>
          <w:tab w:val="clear" w:pos="720"/>
        </w:tabs>
        <w:ind w:hanging="360" w:start="360" w:end="0"/>
        <w:rPr>
          <w:i w:val="false"/>
          <w:i w:val="false"/>
          <w:iCs w:val="false"/>
        </w:rPr>
      </w:pPr>
      <w:r>
        <w:rPr>
          <w:i w:val="false"/>
          <w:iCs w:val="false"/>
        </w:rPr>
        <w:t>Utilities and consumer advocates had much to do with putting AB1890 in place.  Now that the house of cards has predictably collapsed, they blame the most convenient scapegoat: “out-of-state” suppliers of electricity, and “deregulation” itself.  The irony, of course, is that California never deregulated in the first place; if it had, the problems it is experiencing today could have been avoided.</w:t>
      </w:r>
    </w:p>
    <w:p>
      <w:pPr>
        <w:pStyle w:val="Subtitle"/>
        <w:numPr>
          <w:ilvl w:val="0"/>
          <w:numId w:val="14"/>
        </w:numPr>
        <w:tabs>
          <w:tab w:val="clear" w:pos="720"/>
        </w:tabs>
        <w:ind w:hanging="360" w:start="360" w:end="0"/>
        <w:rPr>
          <w:i w:val="false"/>
          <w:i w:val="false"/>
          <w:iCs w:val="false"/>
        </w:rPr>
      </w:pPr>
      <w:r>
        <w:rPr>
          <w:i w:val="false"/>
          <w:iCs w:val="false"/>
        </w:rPr>
        <w:t xml:space="preserve">The challenges California faces are numerous, but they can be overcome.  </w:t>
      </w:r>
    </w:p>
    <w:p>
      <w:pPr>
        <w:pStyle w:val="Subtitle"/>
        <w:numPr>
          <w:ilvl w:val="0"/>
          <w:numId w:val="14"/>
        </w:numPr>
        <w:tabs>
          <w:tab w:val="clear" w:pos="720"/>
        </w:tabs>
        <w:ind w:hanging="360" w:start="360" w:end="0"/>
        <w:rPr>
          <w:i w:val="false"/>
          <w:i w:val="false"/>
          <w:iCs w:val="false"/>
        </w:rPr>
      </w:pPr>
      <w:r>
        <w:rPr>
          <w:i w:val="false"/>
          <w:iCs w:val="false"/>
        </w:rPr>
        <w:t xml:space="preserve">California won’t overcome those challenges, however, by turning back the clock and putting the industry back under the control of the electric utilities and state regulators.  </w:t>
      </w:r>
    </w:p>
    <w:p>
      <w:pPr>
        <w:pStyle w:val="Subtitle"/>
        <w:numPr>
          <w:ilvl w:val="0"/>
          <w:numId w:val="14"/>
        </w:numPr>
        <w:tabs>
          <w:tab w:val="clear" w:pos="720"/>
        </w:tabs>
        <w:ind w:hanging="360" w:start="360" w:end="0"/>
        <w:rPr>
          <w:i w:val="false"/>
          <w:i w:val="false"/>
          <w:iCs w:val="false"/>
        </w:rPr>
      </w:pPr>
      <w:r>
        <w:rPr>
          <w:i w:val="false"/>
          <w:iCs w:val="false"/>
        </w:rPr>
        <w:t xml:space="preserve">California tried that approach for almost a century—it resulted in nuclear plants built on fault lines that cost ten times more than what utilities and regulators said they would cost, and electricity prices that were 150% of the national average.  </w:t>
      </w:r>
    </w:p>
    <w:p>
      <w:pPr>
        <w:pStyle w:val="Subtitle"/>
        <w:numPr>
          <w:ilvl w:val="0"/>
          <w:numId w:val="14"/>
        </w:numPr>
        <w:tabs>
          <w:tab w:val="clear" w:pos="720"/>
        </w:tabs>
        <w:ind w:hanging="360" w:start="360" w:end="0"/>
        <w:rPr>
          <w:i w:val="false"/>
          <w:i w:val="false"/>
          <w:iCs w:val="false"/>
        </w:rPr>
      </w:pPr>
      <w:r>
        <w:rPr>
          <w:i w:val="false"/>
          <w:iCs w:val="false"/>
        </w:rPr>
        <w:t xml:space="preserve">The whole world now watches California to see what Governor Davis and others who inherited the current situation will do.  Short-term solutions involving significant government intervention (e.g., to expedite siting of new facilities, provide credit support for the state’s utilities and power institutions, and to bring down demand) will be needed.  </w:t>
      </w:r>
    </w:p>
    <w:p>
      <w:pPr>
        <w:pStyle w:val="Subtitle"/>
        <w:numPr>
          <w:ilvl w:val="0"/>
          <w:numId w:val="14"/>
        </w:numPr>
        <w:tabs>
          <w:tab w:val="clear" w:pos="720"/>
        </w:tabs>
        <w:ind w:hanging="360" w:start="360" w:end="0"/>
        <w:rPr>
          <w:i w:val="false"/>
          <w:i w:val="false"/>
          <w:iCs w:val="false"/>
        </w:rPr>
      </w:pPr>
      <w:r>
        <w:rPr>
          <w:i w:val="false"/>
          <w:iCs w:val="false"/>
        </w:rPr>
        <w:t>But true success will be achieved only if the state for the first time says “no” to utilities’ renewed demands to put the industry back in their control</w:t>
      </w:r>
      <w:r>
        <w:rPr>
          <w:b/>
          <w:bCs/>
        </w:rPr>
        <w:t>.  The long-term objective should be to fulfill the promise consumers were originally given: a competitive power industry with lower prices and better service.  If California shows resolve on this front it can be a shining example to those around the country and around the world.</w:t>
      </w:r>
    </w:p>
    <w:p>
      <w:pPr>
        <w:pStyle w:val="Subtitle"/>
        <w:rPr>
          <w:b/>
          <w:bCs/>
          <w:i w:val="false"/>
          <w:i w:val="false"/>
          <w:iCs w:val="false"/>
        </w:rPr>
      </w:pPr>
      <w:r>
        <w:rPr>
          <w:b/>
          <w:bCs/>
          <w:i w:val="false"/>
          <w:iCs w:val="false"/>
        </w:rPr>
      </w:r>
    </w:p>
    <w:p>
      <w:pPr>
        <w:pStyle w:val="Subtitle"/>
        <w:rPr>
          <w:b/>
          <w:bCs/>
        </w:rPr>
      </w:pPr>
      <w:r>
        <w:rPr>
          <w:b/>
          <w:bCs/>
        </w:rPr>
        <w:t>Background</w:t>
      </w:r>
    </w:p>
    <w:p>
      <w:pPr>
        <w:pStyle w:val="Normal"/>
        <w:numPr>
          <w:ilvl w:val="0"/>
          <w:numId w:val="9"/>
        </w:numPr>
        <w:tabs>
          <w:tab w:val="clear" w:pos="720"/>
        </w:tabs>
        <w:rPr>
          <w:sz w:val="20"/>
        </w:rPr>
      </w:pPr>
      <w:r>
        <w:rPr>
          <w:sz w:val="20"/>
        </w:rPr>
        <w:t>In 1996, the utilities persuaded the California Commission and the Legislature to reject the market-oriented deregulation plan proposed by the Commission’s staff.</w:t>
      </w:r>
    </w:p>
    <w:p>
      <w:pPr>
        <w:pStyle w:val="Normal"/>
        <w:numPr>
          <w:ilvl w:val="0"/>
          <w:numId w:val="9"/>
        </w:numPr>
        <w:tabs>
          <w:tab w:val="clear" w:pos="720"/>
        </w:tabs>
        <w:rPr>
          <w:sz w:val="20"/>
        </w:rPr>
      </w:pPr>
      <w:r>
        <w:rPr>
          <w:sz w:val="20"/>
        </w:rPr>
        <w:t>The staff proposal emphasized the need for bilateral contracts and a robust retail market.</w:t>
      </w:r>
    </w:p>
    <w:p>
      <w:pPr>
        <w:pStyle w:val="Normal"/>
        <w:numPr>
          <w:ilvl w:val="0"/>
          <w:numId w:val="9"/>
        </w:numPr>
        <w:tabs>
          <w:tab w:val="clear" w:pos="720"/>
        </w:tabs>
        <w:rPr>
          <w:sz w:val="20"/>
        </w:rPr>
      </w:pPr>
      <w:r>
        <w:rPr>
          <w:sz w:val="20"/>
        </w:rPr>
        <w:t>In place of the Commission staff’s plan, the Legislature adopted the utility-sponsored restructuring plan.</w:t>
      </w:r>
    </w:p>
    <w:p>
      <w:pPr>
        <w:pStyle w:val="Normal"/>
        <w:numPr>
          <w:ilvl w:val="0"/>
          <w:numId w:val="9"/>
        </w:numPr>
        <w:tabs>
          <w:tab w:val="clear" w:pos="720"/>
        </w:tabs>
        <w:rPr>
          <w:sz w:val="20"/>
        </w:rPr>
      </w:pPr>
      <w:r>
        <w:rPr>
          <w:sz w:val="20"/>
        </w:rPr>
        <w:t>The utilities’ plan emphasized artificial retail rate caps and a state-designed spot market (the PX), and ignored the development of a retail market and a liquid forward market.</w:t>
      </w:r>
    </w:p>
    <w:p>
      <w:pPr>
        <w:pStyle w:val="Normal"/>
        <w:rPr>
          <w:sz w:val="20"/>
        </w:rPr>
      </w:pPr>
      <w:r>
        <w:rPr>
          <w:sz w:val="20"/>
        </w:rPr>
      </w:r>
    </w:p>
    <w:p>
      <w:pPr>
        <w:pStyle w:val="Heading1"/>
        <w:ind w:hanging="0" w:start="0"/>
        <w:rPr>
          <w:b/>
          <w:bCs/>
          <w:i w:val="false"/>
          <w:i w:val="false"/>
          <w:iCs w:val="false"/>
        </w:rPr>
      </w:pPr>
      <w:r>
        <w:rPr>
          <w:b/>
          <w:bCs/>
        </w:rPr>
        <w:t>The short-term issue—Utility cash flow/credit problem</w:t>
      </w:r>
    </w:p>
    <w:p>
      <w:pPr>
        <w:pStyle w:val="Normal"/>
        <w:numPr>
          <w:ilvl w:val="0"/>
          <w:numId w:val="9"/>
        </w:numPr>
        <w:tabs>
          <w:tab w:val="clear" w:pos="720"/>
        </w:tabs>
        <w:rPr>
          <w:sz w:val="20"/>
        </w:rPr>
      </w:pPr>
      <w:r>
        <w:rPr>
          <w:sz w:val="20"/>
        </w:rPr>
        <w:t>Today, the utilities find themselves the victims of their own flawed restructuring proposal and are demanding that California consumers make them whole.</w:t>
      </w:r>
    </w:p>
    <w:p>
      <w:pPr>
        <w:pStyle w:val="Normal"/>
        <w:numPr>
          <w:ilvl w:val="1"/>
          <w:numId w:val="3"/>
        </w:numPr>
        <w:tabs>
          <w:tab w:val="clear" w:pos="720"/>
        </w:tabs>
        <w:ind w:hanging="288" w:start="540" w:end="0"/>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3"/>
        </w:numPr>
        <w:tabs>
          <w:tab w:val="clear" w:pos="720"/>
        </w:tabs>
        <w:ind w:hanging="288" w:start="540" w:end="0"/>
        <w:rPr>
          <w:sz w:val="20"/>
        </w:rPr>
      </w:pPr>
      <w:r>
        <w:rPr>
          <w:sz w:val="20"/>
        </w:rPr>
        <w:t>The utilities ploughed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3"/>
        </w:numPr>
        <w:tabs>
          <w:tab w:val="clear" w:pos="720"/>
        </w:tabs>
        <w:ind w:hanging="288" w:start="540" w:end="0"/>
        <w:rPr>
          <w:sz w:val="20"/>
        </w:rPr>
      </w:pPr>
      <w:r>
        <w:rPr>
          <w:sz w:val="20"/>
        </w:rPr>
        <w:t>The situation reversed in the Summer of 2000 when California’s decade-long failure to allow power plant development led to a severe power shortage as demand dramatically outstripped supply.  Because utilities purchased all of their supply needs from the spot (PX) market, California was completely unhedged when prices turned around.  In San Diego (where the local utility had fully recovered stranded costs) the price cap was eliminated, so consumers saw spot prices directly.  Bills tripled; some businesses closed; and many fixed income consumers suffered.  The California legislature stepped in during late Summer 2000 and capped San Diego’s rates at 6.5 cents.  SCE and PG&amp;E still had not fully recovered their stranded costs so the rate caps remained in effect for their customers.  The cost of being unhedged fell directly on the utilities who started racking up multibillion dollar deferrals while exhausting credit lines.</w:t>
      </w:r>
    </w:p>
    <w:p>
      <w:pPr>
        <w:pStyle w:val="Normal"/>
        <w:numPr>
          <w:ilvl w:val="1"/>
          <w:numId w:val="3"/>
        </w:numPr>
        <w:tabs>
          <w:tab w:val="clear" w:pos="720"/>
        </w:tabs>
        <w:ind w:hanging="288" w:start="540" w:end="0"/>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3"/>
        </w:numPr>
        <w:tabs>
          <w:tab w:val="clear" w:pos="720"/>
        </w:tabs>
        <w:ind w:hanging="288" w:start="540" w:end="0"/>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3"/>
        </w:numPr>
        <w:tabs>
          <w:tab w:val="clear" w:pos="720"/>
        </w:tabs>
        <w:ind w:hanging="288" w:start="540" w:end="0"/>
        <w:rPr>
          <w:sz w:val="20"/>
        </w:rPr>
      </w:pPr>
      <w:r>
        <w:rPr>
          <w:sz w:val="20"/>
        </w:rPr>
        <w:t>The utilities’ negative cash flow has led to a credit crunch that the utilities claim has pushed them to the edge of insolvency.</w:t>
      </w:r>
    </w:p>
    <w:p>
      <w:pPr>
        <w:pStyle w:val="Normal"/>
        <w:numPr>
          <w:ilvl w:val="1"/>
          <w:numId w:val="3"/>
        </w:numPr>
        <w:tabs>
          <w:tab w:val="clear" w:pos="720"/>
        </w:tabs>
        <w:ind w:hanging="288" w:start="540" w:end="0"/>
        <w:rPr>
          <w:sz w:val="20"/>
        </w:rPr>
      </w:pPr>
      <w:r>
        <w:rPr>
          <w:sz w:val="20"/>
        </w:rPr>
        <w:t>The utilities are demanding that the California PUC increase prices by 20-30% and have threatened to file in bankruptcy court unless the their every demand is met.</w:t>
      </w:r>
    </w:p>
    <w:p>
      <w:pPr>
        <w:pStyle w:val="Normal"/>
        <w:rPr>
          <w:sz w:val="20"/>
        </w:rPr>
      </w:pPr>
      <w:r>
        <w:rPr>
          <w:sz w:val="20"/>
        </w:rPr>
      </w:r>
    </w:p>
    <w:p>
      <w:pPr>
        <w:pStyle w:val="Heading1"/>
        <w:ind w:hanging="0" w:start="0"/>
        <w:rPr>
          <w:b/>
          <w:bCs/>
        </w:rPr>
      </w:pPr>
      <w:r>
        <w:rPr>
          <w:b/>
          <w:bCs/>
        </w:rPr>
        <w:t>The utilities’ flawed restructuring plan has now created a political crisis for the Governor</w:t>
      </w:r>
    </w:p>
    <w:p>
      <w:pPr>
        <w:pStyle w:val="Normal"/>
        <w:numPr>
          <w:ilvl w:val="0"/>
          <w:numId w:val="9"/>
        </w:numPr>
        <w:tabs>
          <w:tab w:val="clear" w:pos="720"/>
        </w:tabs>
        <w:rPr>
          <w:sz w:val="20"/>
        </w:rPr>
      </w:pPr>
      <w:r>
        <w:rPr>
          <w:sz w:val="20"/>
        </w:rPr>
        <w:t>The Governor had nothing to do with the current situation.  He inherited it from the previous administration—(Pete Wilson’s—(and from a legislature that voted unanimously for AB1890).</w:t>
      </w:r>
    </w:p>
    <w:p>
      <w:pPr>
        <w:pStyle w:val="Normal"/>
        <w:numPr>
          <w:ilvl w:val="0"/>
          <w:numId w:val="9"/>
        </w:numPr>
        <w:tabs>
          <w:tab w:val="clear" w:pos="720"/>
        </w:tabs>
        <w:rPr>
          <w:sz w:val="20"/>
        </w:rPr>
      </w:pPr>
      <w:r>
        <w:rPr>
          <w:sz w:val="20"/>
        </w:rPr>
        <w:t>Notwithstanding his lack of responsibility for the current crisis, the Governor has resolved to fix the problems with a variety of short and long-term solutions.</w:t>
      </w:r>
    </w:p>
    <w:p>
      <w:pPr>
        <w:pStyle w:val="Normal"/>
        <w:numPr>
          <w:ilvl w:val="0"/>
          <w:numId w:val="9"/>
        </w:numPr>
        <w:tabs>
          <w:tab w:val="clear" w:pos="720"/>
        </w:tabs>
        <w:rPr>
          <w:sz w:val="20"/>
        </w:rPr>
      </w:pPr>
      <w:r>
        <w:rPr>
          <w:sz w:val="20"/>
        </w:rPr>
        <w:t>The real answers are not politically easy and some seem counterintuitive (e.g. price caps in wholesale markets have only succeeded in chasing away new supply and reducing the need for conservation).  Until now, the Governor has appeared unwilling to expend the political capital necessary to put real solutions in place.</w:t>
      </w:r>
    </w:p>
    <w:p>
      <w:pPr>
        <w:pStyle w:val="Normal"/>
        <w:numPr>
          <w:ilvl w:val="0"/>
          <w:numId w:val="9"/>
        </w:numPr>
        <w:tabs>
          <w:tab w:val="clear" w:pos="720"/>
        </w:tabs>
        <w:rPr>
          <w:sz w:val="20"/>
        </w:rPr>
      </w:pPr>
      <w:r>
        <w:rPr>
          <w:sz w:val="20"/>
        </w:rPr>
        <w:t>He recently signed a token bill designed to speed the permitting of power plants, but action was too little, too late, and significantly more effort needs to be take to get power plants built and on line.</w:t>
      </w:r>
    </w:p>
    <w:p>
      <w:pPr>
        <w:pStyle w:val="Normal"/>
        <w:numPr>
          <w:ilvl w:val="0"/>
          <w:numId w:val="9"/>
        </w:numPr>
        <w:tabs>
          <w:tab w:val="clear" w:pos="720"/>
        </w:tabs>
        <w:rPr>
          <w:sz w:val="20"/>
        </w:rPr>
      </w:pPr>
      <w:r>
        <w:rPr>
          <w:sz w:val="20"/>
        </w:rPr>
        <w:t>Difficult but effective actions would include temporarily relaxing California’s stringent air emission standards to permit plants to produce more power.</w:t>
      </w:r>
    </w:p>
    <w:p>
      <w:pPr>
        <w:pStyle w:val="Normal"/>
        <w:numPr>
          <w:ilvl w:val="0"/>
          <w:numId w:val="9"/>
        </w:numPr>
        <w:tabs>
          <w:tab w:val="clear" w:pos="720"/>
        </w:tabs>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9"/>
        </w:numPr>
        <w:tabs>
          <w:tab w:val="clear" w:pos="720"/>
        </w:tabs>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9"/>
        </w:numPr>
        <w:tabs>
          <w:tab w:val="clear" w:pos="720"/>
        </w:tabs>
        <w:rPr>
          <w:sz w:val="20"/>
        </w:rPr>
      </w:pPr>
      <w:r>
        <w:rPr>
          <w:sz w:val="20"/>
        </w:rPr>
        <w:t>Davis did not attend the summit.</w:t>
      </w:r>
    </w:p>
    <w:p>
      <w:pPr>
        <w:pStyle w:val="Normal"/>
        <w:numPr>
          <w:ilvl w:val="0"/>
          <w:numId w:val="9"/>
        </w:numPr>
        <w:tabs>
          <w:tab w:val="clear" w:pos="720"/>
        </w:tabs>
        <w:rPr>
          <w:sz w:val="20"/>
        </w:rPr>
      </w:pPr>
      <w:r>
        <w:rPr>
          <w:sz w:val="20"/>
        </w:rPr>
        <w:t>At the summit, the Western Governors issued the following recommendations:</w:t>
      </w:r>
    </w:p>
    <w:p>
      <w:pPr>
        <w:pStyle w:val="Normal"/>
        <w:numPr>
          <w:ilvl w:val="0"/>
          <w:numId w:val="13"/>
        </w:numPr>
        <w:tabs>
          <w:tab w:val="clear" w:pos="720"/>
        </w:tabs>
        <w:autoSpaceDE w:val="false"/>
        <w:spacing w:lineRule="atLeast" w:line="240"/>
        <w:rPr>
          <w:color w:val="000000"/>
          <w:sz w:val="20"/>
          <w:szCs w:val="20"/>
        </w:rPr>
      </w:pPr>
      <w:r>
        <w:rPr>
          <w:color w:val="000000"/>
          <w:sz w:val="20"/>
          <w:szCs w:val="20"/>
        </w:rPr>
        <w:t>California should aggressively pursue all available DSM and conservation opportunities.</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Increase supply as soon as possible.</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13"/>
        </w:numPr>
        <w:tabs>
          <w:tab w:val="clear" w:pos="720"/>
        </w:tabs>
        <w:autoSpaceDE w:val="false"/>
        <w:spacing w:lineRule="atLeast" w:line="240"/>
        <w:rPr>
          <w:sz w:val="20"/>
        </w:rPr>
      </w:pPr>
      <w:r>
        <w:rPr>
          <w:sz w:val="20"/>
        </w:rPr>
        <w:t xml:space="preserve">FERC Commissioner Hoecker said that he is not inclined to impose a region-wide cap until California takes the actions necessary to alleviate the situation. </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FERC should add to its investigations an investigation into what caused the price spikes in the first week of December.</w:t>
      </w:r>
    </w:p>
    <w:p>
      <w:pPr>
        <w:pStyle w:val="Normal"/>
        <w:keepLines/>
        <w:numPr>
          <w:ilvl w:val="0"/>
          <w:numId w:val="13"/>
        </w:numPr>
        <w:tabs>
          <w:tab w:val="clear" w:pos="720"/>
        </w:tabs>
        <w:autoSpaceDE w:val="false"/>
        <w:spacing w:lineRule="atLeast" w:line="240"/>
        <w:rPr/>
      </w:pPr>
      <w:r>
        <w:rPr>
          <w:color w:val="000000"/>
          <w:sz w:val="20"/>
          <w:szCs w:val="20"/>
        </w:rPr>
        <w:t>Governor Davis should work with the Bush transition team to make sure that someone from the new administration is focused on the issue.</w:t>
      </w:r>
    </w:p>
    <w:p>
      <w:pPr>
        <w:pStyle w:val="Normal"/>
        <w:numPr>
          <w:ilvl w:val="0"/>
          <w:numId w:val="9"/>
        </w:numPr>
        <w:tabs>
          <w:tab w:val="clear" w:pos="720"/>
        </w:tabs>
        <w:rPr>
          <w:sz w:val="20"/>
        </w:rPr>
      </w:pPr>
      <w:r>
        <w:rPr>
          <w:sz w:val="20"/>
        </w:rPr>
        <w:t>Over the past several weeks, the Governor and the utilities have been engaged in closed-door negotiations over the utilities’ cash flow problem.</w:t>
      </w:r>
    </w:p>
    <w:p>
      <w:pPr>
        <w:pStyle w:val="Normal"/>
        <w:numPr>
          <w:ilvl w:val="0"/>
          <w:numId w:val="9"/>
        </w:numPr>
        <w:tabs>
          <w:tab w:val="clear" w:pos="720"/>
        </w:tabs>
        <w:rPr>
          <w:sz w:val="20"/>
        </w:rPr>
      </w:pPr>
      <w:r>
        <w:rPr>
          <w:sz w:val="20"/>
        </w:rPr>
        <w:t>Consumer groups, activists and the press have been very critical of the “closed-door” nature of the talks.</w:t>
      </w:r>
    </w:p>
    <w:p>
      <w:pPr>
        <w:pStyle w:val="Normal"/>
        <w:numPr>
          <w:ilvl w:val="0"/>
          <w:numId w:val="9"/>
        </w:numPr>
        <w:tabs>
          <w:tab w:val="clear" w:pos="720"/>
        </w:tabs>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9"/>
        </w:numPr>
        <w:tabs>
          <w:tab w:val="clear" w:pos="720"/>
        </w:tabs>
        <w:rPr>
          <w:sz w:val="20"/>
        </w:rPr>
      </w:pPr>
      <w:r>
        <w:rPr>
          <w:sz w:val="20"/>
        </w:rPr>
        <w:t>This gap between the Governor’s position and the utilities’ position caused the talks to break down, but negotiations continue.</w:t>
      </w:r>
    </w:p>
    <w:p>
      <w:pPr>
        <w:pStyle w:val="Normal"/>
        <w:numPr>
          <w:ilvl w:val="0"/>
          <w:numId w:val="9"/>
        </w:numPr>
        <w:tabs>
          <w:tab w:val="clear" w:pos="720"/>
        </w:tabs>
        <w:rPr>
          <w:sz w:val="20"/>
        </w:rPr>
      </w:pPr>
      <w:r>
        <w:rPr>
          <w:sz w:val="20"/>
        </w:rPr>
        <w:t>For their part, Californians have shown little sympathy for the utilities’ plight.</w:t>
      </w:r>
    </w:p>
    <w:p>
      <w:pPr>
        <w:pStyle w:val="Normal"/>
        <w:numPr>
          <w:ilvl w:val="0"/>
          <w:numId w:val="9"/>
        </w:numPr>
        <w:tabs>
          <w:tab w:val="clear" w:pos="720"/>
        </w:tabs>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9"/>
        </w:numPr>
        <w:tabs>
          <w:tab w:val="clear" w:pos="720"/>
        </w:tabs>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9"/>
        </w:numPr>
        <w:tabs>
          <w:tab w:val="clear" w:pos="720"/>
        </w:tabs>
        <w:rPr>
          <w:sz w:val="20"/>
        </w:rPr>
      </w:pPr>
      <w:r>
        <w:rPr>
          <w:sz w:val="20"/>
        </w:rPr>
        <w:t>With capital markets threatening to cut off utility credit, the California PUC announced a 10% increase in rates on January 4</w:t>
      </w:r>
      <w:r>
        <w:rPr>
          <w:sz w:val="20"/>
          <w:vertAlign w:val="superscript"/>
        </w:rPr>
        <w:t>th</w:t>
      </w:r>
      <w:r>
        <w:rPr>
          <w:sz w:val="20"/>
        </w:rPr>
        <w:t xml:space="preserve"> and promised to continue to examine the utilities financial position and take any further required to prevent bankruptcy.</w:t>
      </w:r>
    </w:p>
    <w:p>
      <w:pPr>
        <w:pStyle w:val="Normal"/>
        <w:numPr>
          <w:ilvl w:val="0"/>
          <w:numId w:val="9"/>
        </w:numPr>
        <w:tabs>
          <w:tab w:val="clear" w:pos="720"/>
        </w:tabs>
        <w:rPr>
          <w:sz w:val="20"/>
        </w:rPr>
      </w:pPr>
      <w:r>
        <w:rPr>
          <w:sz w:val="20"/>
        </w:rPr>
        <w:t>The PUC’s decision did not satisfy the ratings agency and the Governor has worked hard to placate them, from suggestions that he might securitize the utilities’ power purchase costs, to strong statements in his January 8</w:t>
      </w:r>
      <w:r>
        <w:rPr>
          <w:sz w:val="20"/>
          <w:vertAlign w:val="superscript"/>
        </w:rPr>
        <w:t>th</w:t>
      </w:r>
      <w:r>
        <w:rPr>
          <w:sz w:val="20"/>
        </w:rPr>
        <w:t xml:space="preserve"> state of the State address that he will not let the utilities go bankrupt.</w:t>
      </w:r>
    </w:p>
    <w:p>
      <w:pPr>
        <w:pStyle w:val="Normal"/>
        <w:numPr>
          <w:ilvl w:val="0"/>
          <w:numId w:val="9"/>
        </w:numPr>
        <w:tabs>
          <w:tab w:val="clear" w:pos="720"/>
        </w:tabs>
        <w:rPr>
          <w:sz w:val="20"/>
        </w:rPr>
      </w:pPr>
      <w:r>
        <w:rPr>
          <w:sz w:val="20"/>
        </w:rPr>
        <w:t>The issue has now gone to the State Legislature, where the Governor has called an emergency session to address the electricity crisis.</w:t>
      </w:r>
    </w:p>
    <w:p>
      <w:pPr>
        <w:pStyle w:val="Normal"/>
        <w:numPr>
          <w:ilvl w:val="0"/>
          <w:numId w:val="9"/>
        </w:numPr>
        <w:tabs>
          <w:tab w:val="clear" w:pos="720"/>
        </w:tabs>
        <w:rPr>
          <w:sz w:val="20"/>
        </w:rPr>
      </w:pPr>
      <w:r>
        <w:rPr>
          <w:sz w:val="20"/>
        </w:rPr>
        <w:t>On January 5</w:t>
      </w:r>
      <w:r>
        <w:rPr>
          <w:sz w:val="20"/>
          <w:vertAlign w:val="superscript"/>
        </w:rPr>
        <w:t>th</w:t>
      </w:r>
      <w:r>
        <w:rPr>
          <w:sz w:val="20"/>
        </w:rPr>
        <w:t>, California’s State Treasurer issued a proposal to create a state power authority that would issue bonds in order to 1) buy the utilities’ transmission assets, 2) finance, develop and operate power plants, and 3) finance tax credits and low-interest loans for demand-side management and renewable energy.</w:t>
      </w:r>
    </w:p>
    <w:p>
      <w:pPr>
        <w:pStyle w:val="Normal"/>
        <w:numPr>
          <w:ilvl w:val="0"/>
          <w:numId w:val="9"/>
        </w:numPr>
        <w:tabs>
          <w:tab w:val="clear" w:pos="720"/>
        </w:tabs>
        <w:rPr>
          <w:sz w:val="20"/>
        </w:rPr>
      </w:pPr>
      <w:r>
        <w:rPr>
          <w:sz w:val="20"/>
        </w:rPr>
        <w:t>Though the Governor has not endorsed the Treasurer’s proposal he stated in his state of the State address that he would endorse and work with the Legislature to enact such (extreme) measures if necessary.</w:t>
      </w:r>
    </w:p>
    <w:p>
      <w:pPr>
        <w:pStyle w:val="Normal"/>
        <w:rPr>
          <w:b/>
          <w:bCs/>
          <w:i/>
          <w:i/>
          <w:iCs/>
          <w:sz w:val="20"/>
        </w:rPr>
      </w:pPr>
      <w:r>
        <w:rPr>
          <w:b/>
          <w:bCs/>
          <w:i/>
          <w:iCs/>
          <w:sz w:val="20"/>
        </w:rPr>
      </w:r>
    </w:p>
    <w:p>
      <w:pPr>
        <w:pStyle w:val="Heading3"/>
        <w:ind w:hanging="0" w:start="0"/>
        <w:jc w:val="start"/>
        <w:rPr/>
      </w:pPr>
      <w:r>
        <w:rPr/>
        <w:t>Gas Markets</w:t>
      </w:r>
    </w:p>
    <w:p>
      <w:pPr>
        <w:pStyle w:val="Normal"/>
        <w:numPr>
          <w:ilvl w:val="0"/>
          <w:numId w:val="15"/>
        </w:numPr>
        <w:rPr>
          <w:sz w:val="20"/>
        </w:rPr>
      </w:pPr>
      <w:r>
        <w:rPr>
          <w:sz w:val="20"/>
        </w:rPr>
        <w:t>Similar problems have plagued the gas utilities in California.  It appears that the utilities remain largely unhedged in gas markets as well.  Spot price increases will begin flowing through to consumers as soon as January.  Gas price increases have also affected power prices and industrial consumers in the state.</w:t>
      </w:r>
    </w:p>
    <w:p>
      <w:pPr>
        <w:pStyle w:val="Normal"/>
        <w:numPr>
          <w:ilvl w:val="0"/>
          <w:numId w:val="15"/>
        </w:numPr>
        <w:rPr>
          <w:sz w:val="20"/>
        </w:rPr>
      </w:pPr>
      <w:r>
        <w:rPr>
          <w:sz w:val="20"/>
        </w:rPr>
        <w:t>Gas utilities made a number of critical errors leading up to the current crisis: they opposed gas pipeline expansions into the state (at least partly out of fear that such expansions would erode the value of their existing interstate capacity rights), they failed to take advantage of opportunities to fill storage, and they left themselves unhedged.  Now, of course, they are blaming gas producers, pipelines and marketers for their problems and calling for price caps.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792"/>
        </w:tabs>
        <w:ind w:start="792" w:hanging="432"/>
      </w:pPr>
      <w:rPr>
        <w:rFonts w:ascii="Wingdings" w:hAnsi="Wingdings" w:cs="Wingdings" w:hint="default"/>
      </w:rPr>
    </w:lvl>
  </w:abstractNum>
  <w:abstractNum w:abstractNumId="6">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088" w:hanging="288"/>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360"/>
        </w:tabs>
        <w:ind w:start="288" w:hanging="288"/>
      </w:pPr>
      <w:rPr>
        <w:rFonts w:ascii="Wingdings" w:hAnsi="Wingdings" w:cs="Wingdings" w:hint="default"/>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088" w:hanging="288"/>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Wingdings" w:hAnsi="Wingdings" w:cs="Wingdings" w:hint="default"/>
      </w:rPr>
    </w:lvl>
  </w:abstractNum>
  <w:abstractNum w:abstractNumId="12">
    <w:lvl w:ilvl="0">
      <w:start w:val="1"/>
      <w:numFmt w:val="bullet"/>
      <w:lvlText w:val=""/>
      <w:lvlJc w:val="start"/>
      <w:pPr>
        <w:tabs>
          <w:tab w:val="num" w:pos="1152"/>
        </w:tabs>
        <w:ind w:start="1152" w:hanging="432"/>
      </w:pPr>
      <w:rPr>
        <w:rFonts w:ascii="Wingdings" w:hAnsi="Wingdings" w:cs="Wingdings" w:hint="default"/>
      </w:rPr>
    </w:lvl>
    <w:lvl w:ilvl="1">
      <w:start w:val="1"/>
      <w:numFmt w:val="bullet"/>
      <w:lvlText w:val=""/>
      <w:lvlJc w:val="start"/>
      <w:pPr>
        <w:tabs>
          <w:tab w:val="num" w:pos="1800"/>
        </w:tabs>
        <w:ind w:start="1728" w:hanging="288"/>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3">
    <w:lvl w:ilvl="0">
      <w:start w:val="1"/>
      <w:numFmt w:val="bullet"/>
      <w:lvlText w:val=""/>
      <w:lvlJc w:val="start"/>
      <w:pPr>
        <w:tabs>
          <w:tab w:val="num" w:pos="648"/>
        </w:tabs>
        <w:ind w:start="576" w:hanging="288"/>
      </w:pPr>
      <w:rPr>
        <w:rFonts w:ascii="Wingdings" w:hAnsi="Wingdings" w:cs="Wingdings" w:hint="default"/>
      </w:rPr>
    </w:lvl>
  </w:abstractNum>
  <w:abstractNum w:abstractNumId="14">
    <w:lvl w:ilvl="0">
      <w:start w:val="1"/>
      <w:numFmt w:val="bullet"/>
      <w:lvlText w:val=""/>
      <w:lvlJc w:val="start"/>
      <w:pPr>
        <w:tabs>
          <w:tab w:val="num" w:pos="720"/>
        </w:tabs>
        <w:ind w:start="648" w:hanging="288"/>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432"/>
        </w:tabs>
        <w:ind w:start="432" w:hanging="432"/>
      </w:pPr>
      <w:rPr>
        <w:rFonts w:ascii="Wingdings" w:hAnsi="Wingdings" w:cs="Wingdings" w:hint="default"/>
      </w:rPr>
    </w:lvl>
    <w:lvl w:ilvl="1">
      <w:start w:val="1"/>
      <w:numFmt w:val="bullet"/>
      <w:lvlText w:val=""/>
      <w:lvlJc w:val="start"/>
      <w:pPr>
        <w:tabs>
          <w:tab w:val="num" w:pos="1152"/>
        </w:tabs>
        <w:ind w:start="1080" w:hanging="288"/>
      </w:pPr>
      <w:rPr>
        <w:rFonts w:ascii="Wingdings" w:hAnsi="Wingdings" w:cs="Wingdings" w:hint="default"/>
      </w:rPr>
    </w:lvl>
    <w:lvl w:ilvl="2">
      <w:start w:val="1"/>
      <w:numFmt w:val="bullet"/>
      <w:lvlText w:val=""/>
      <w:lvlJc w:val="start"/>
      <w:pPr>
        <w:tabs>
          <w:tab w:val="num" w:pos="1872"/>
        </w:tabs>
        <w:ind w:start="1872" w:hanging="360"/>
      </w:pPr>
      <w:rPr>
        <w:rFonts w:ascii="Wingdings" w:hAnsi="Wingdings" w:cs="Wingdings" w:hint="default"/>
      </w:rPr>
    </w:lvl>
    <w:lvl w:ilvl="3">
      <w:start w:val="1"/>
      <w:numFmt w:val="bullet"/>
      <w:lvlText w:val=""/>
      <w:lvlJc w:val="start"/>
      <w:pPr>
        <w:tabs>
          <w:tab w:val="num" w:pos="2592"/>
        </w:tabs>
        <w:ind w:start="2592" w:hanging="360"/>
      </w:pPr>
      <w:rPr>
        <w:rFonts w:ascii="Symbol" w:hAnsi="Symbol" w:cs="Symbol" w:hint="default"/>
      </w:rPr>
    </w:lvl>
    <w:lvl w:ilvl="4">
      <w:start w:val="1"/>
      <w:numFmt w:val="bullet"/>
      <w:lvlText w:val="o"/>
      <w:lvlJc w:val="start"/>
      <w:pPr>
        <w:tabs>
          <w:tab w:val="num" w:pos="3312"/>
        </w:tabs>
        <w:ind w:start="3312" w:hanging="360"/>
      </w:pPr>
      <w:rPr>
        <w:rFonts w:ascii="Courier New" w:hAnsi="Courier New" w:cs="Courier New" w:hint="default"/>
      </w:rPr>
    </w:lvl>
    <w:lvl w:ilvl="5">
      <w:start w:val="1"/>
      <w:numFmt w:val="bullet"/>
      <w:lvlText w:val=""/>
      <w:lvlJc w:val="start"/>
      <w:pPr>
        <w:tabs>
          <w:tab w:val="num" w:pos="4032"/>
        </w:tabs>
        <w:ind w:start="4032" w:hanging="360"/>
      </w:pPr>
      <w:rPr>
        <w:rFonts w:ascii="Wingdings" w:hAnsi="Wingdings" w:cs="Wingdings" w:hint="default"/>
      </w:rPr>
    </w:lvl>
    <w:lvl w:ilvl="6">
      <w:start w:val="1"/>
      <w:numFmt w:val="bullet"/>
      <w:lvlText w:val=""/>
      <w:lvlJc w:val="start"/>
      <w:pPr>
        <w:tabs>
          <w:tab w:val="num" w:pos="4752"/>
        </w:tabs>
        <w:ind w:start="4752" w:hanging="360"/>
      </w:pPr>
      <w:rPr>
        <w:rFonts w:ascii="Symbol" w:hAnsi="Symbol" w:cs="Symbol" w:hint="default"/>
      </w:rPr>
    </w:lvl>
    <w:lvl w:ilvl="7">
      <w:start w:val="1"/>
      <w:numFmt w:val="bullet"/>
      <w:lvlText w:val="o"/>
      <w:lvlJc w:val="start"/>
      <w:pPr>
        <w:tabs>
          <w:tab w:val="num" w:pos="5472"/>
        </w:tabs>
        <w:ind w:start="5472" w:hanging="360"/>
      </w:pPr>
      <w:rPr>
        <w:rFonts w:ascii="Courier New" w:hAnsi="Courier New" w:cs="Courier New" w:hint="default"/>
      </w:rPr>
    </w:lvl>
    <w:lvl w:ilvl="8">
      <w:start w:val="1"/>
      <w:numFmt w:val="bullet"/>
      <w:lvlText w:val=""/>
      <w:lvlJc w:val="start"/>
      <w:pPr>
        <w:tabs>
          <w:tab w:val="num" w:pos="6192"/>
        </w:tabs>
        <w:ind w:start="6192"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1">
    <w:name w:val="WW8Num18z1"/>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style>
  <w:style w:type="character" w:styleId="WW8Num42z0">
    <w:name w:val="WW8Num42z0"/>
    <w:qFormat/>
    <w:rPr>
      <w:rFonts w:ascii="Wingdings" w:hAnsi="Wingdings" w:cs="Wingdings"/>
    </w:rPr>
  </w:style>
  <w:style w:type="character" w:styleId="WW8Num42z1">
    <w:name w:val="WW8Num42z1"/>
    <w:qFormat/>
    <w:rPr>
      <w:rFonts w:ascii="Symbol" w:hAnsi="Symbol" w:cs="Symbol"/>
    </w:rPr>
  </w:style>
  <w:style w:type="character" w:styleId="WW8Num42z4">
    <w:name w:val="WW8Num4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2001-01-04T21:18:00Z</dcterms:created>
  <dc:creator>jdasovic</dc:creator>
  <dc:description/>
  <dc:language>en-CA</dc:language>
  <cp:lastModifiedBy>jdasovic</cp:lastModifiedBy>
  <cp:lastPrinted>2000-12-26T11:19:00Z</cp:lastPrinted>
  <dcterms:modified xsi:type="dcterms:W3CDTF">2001-01-09T05:04:00Z</dcterms:modified>
  <cp:revision>31</cp:revision>
  <dc:subject/>
  <dc:title>The Current Situation In California</dc:title>
</cp:coreProperties>
</file>